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396B"/>
    <w:p w:rsidR="0014396B">
      <w:pPr>
        <w:jc w:val="right"/>
      </w:pPr>
      <w:r>
        <w:rPr>
          <w:sz w:val="27"/>
        </w:rPr>
        <w:t xml:space="preserve">Дело № 5-73-366/2021 </w:t>
      </w:r>
    </w:p>
    <w:p w:rsidR="0014396B">
      <w:pPr>
        <w:jc w:val="right"/>
      </w:pPr>
      <w:r>
        <w:rPr>
          <w:sz w:val="28"/>
        </w:rPr>
        <w:t>УИД 23MS0209-01-2021-002153-87</w:t>
      </w:r>
    </w:p>
    <w:p w:rsidR="004855E8">
      <w:pPr>
        <w:jc w:val="center"/>
        <w:rPr>
          <w:b/>
          <w:sz w:val="27"/>
        </w:rPr>
      </w:pPr>
    </w:p>
    <w:p w:rsidR="0014396B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4855E8">
      <w:pPr>
        <w:ind w:firstLine="708"/>
        <w:rPr>
          <w:sz w:val="27"/>
        </w:rPr>
      </w:pPr>
    </w:p>
    <w:p w:rsidR="0014396B">
      <w:pPr>
        <w:ind w:firstLine="708"/>
      </w:pPr>
      <w:r>
        <w:rPr>
          <w:sz w:val="27"/>
        </w:rPr>
        <w:t xml:space="preserve">26 августа 2021 года                                                                             </w:t>
      </w:r>
      <w:r>
        <w:rPr>
          <w:sz w:val="27"/>
        </w:rPr>
        <w:t>г. Саки</w:t>
      </w:r>
    </w:p>
    <w:p w:rsidR="004855E8">
      <w:pPr>
        <w:jc w:val="both"/>
        <w:rPr>
          <w:sz w:val="27"/>
        </w:rPr>
      </w:pPr>
    </w:p>
    <w:p w:rsidR="0014396B" w:rsidP="004855E8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14396B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Нудьга А.П.,</w:t>
      </w:r>
    </w:p>
    <w:p w:rsidR="0014396B">
      <w:pPr>
        <w:ind w:firstLine="708"/>
        <w:jc w:val="both"/>
      </w:pPr>
      <w:r>
        <w:rPr>
          <w:sz w:val="27"/>
        </w:rPr>
        <w:t>рассмотр</w:t>
      </w:r>
      <w:r>
        <w:rPr>
          <w:sz w:val="27"/>
        </w:rPr>
        <w:t xml:space="preserve">ев в открытом судебном заседании дело об административном правонарушение, поступившее из ОГИБДД ОМВД России по Темрюкскому району в отношении: </w:t>
      </w:r>
    </w:p>
    <w:p w:rsidR="0014396B">
      <w:pPr>
        <w:ind w:left="4248"/>
        <w:jc w:val="both"/>
      </w:pPr>
      <w:r>
        <w:rPr>
          <w:b/>
          <w:sz w:val="27"/>
        </w:rPr>
        <w:t>Нудьга А.П.</w:t>
      </w:r>
    </w:p>
    <w:p w:rsidR="0014396B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2 ст. 12.</w:t>
      </w:r>
      <w:r>
        <w:rPr>
          <w:sz w:val="27"/>
        </w:rPr>
        <w:t xml:space="preserve">2 Кодекса Российской Федерации об административных правонарушениях, </w:t>
      </w:r>
    </w:p>
    <w:p w:rsidR="0014396B" w:rsidP="004855E8">
      <w:pPr>
        <w:jc w:val="center"/>
      </w:pPr>
      <w:r>
        <w:rPr>
          <w:b/>
          <w:sz w:val="27"/>
        </w:rPr>
        <w:t>УСТАНОВИЛ:</w:t>
      </w:r>
    </w:p>
    <w:p w:rsidR="0014396B">
      <w:pPr>
        <w:ind w:firstLine="708"/>
        <w:jc w:val="both"/>
      </w:pPr>
      <w:r>
        <w:rPr>
          <w:sz w:val="27"/>
        </w:rPr>
        <w:t>Согласно протокола об административном правонарушении Нудьга А.П. на автодороге</w:t>
      </w:r>
      <w:r>
        <w:rPr>
          <w:sz w:val="27"/>
        </w:rPr>
        <w:t xml:space="preserve"> управлял транспортным средством автомобилем марки, государственный номер</w:t>
      </w:r>
      <w:r>
        <w:rPr>
          <w:sz w:val="27"/>
        </w:rPr>
        <w:t xml:space="preserve"> бе</w:t>
      </w:r>
      <w:r>
        <w:rPr>
          <w:sz w:val="27"/>
        </w:rPr>
        <w:t>з государственного регистрационного знака (сзади), двигался в составе автопоезда ВОАВО государственный номер</w:t>
      </w:r>
      <w:r>
        <w:rPr>
          <w:sz w:val="27"/>
        </w:rPr>
        <w:t xml:space="preserve">, прицеп Леси Трайлер государственный номер, </w:t>
      </w:r>
      <w:r>
        <w:rPr>
          <w:sz w:val="27"/>
        </w:rPr>
        <w:t>чем нарушил п. 2 Основных положений Правил дорожного движения РФ, ответственность за которое пре</w:t>
      </w:r>
      <w:r>
        <w:rPr>
          <w:sz w:val="27"/>
        </w:rPr>
        <w:t>дусмотрена ст. 12.2 ч. 2 Кодекса Российской Федерации об административных правонарушениях.</w:t>
      </w:r>
    </w:p>
    <w:p w:rsidR="0014396B">
      <w:pPr>
        <w:ind w:firstLine="708"/>
        <w:jc w:val="both"/>
      </w:pPr>
      <w:r>
        <w:rPr>
          <w:sz w:val="27"/>
        </w:rPr>
        <w:t>В судебное заседание Нудьга А.П. явился, вину во вменяемом административном правонарушении признал в полном объеме, не оспаривал фактические обстоятельства дела, изл</w:t>
      </w:r>
      <w:r>
        <w:rPr>
          <w:sz w:val="27"/>
        </w:rPr>
        <w:t>оженные в протоколе об административном правонарушении.</w:t>
      </w:r>
    </w:p>
    <w:p w:rsidR="0014396B">
      <w:pPr>
        <w:ind w:firstLine="708"/>
        <w:jc w:val="both"/>
      </w:pPr>
      <w:r>
        <w:rPr>
          <w:sz w:val="27"/>
        </w:rPr>
        <w:t>Выслушав Нудьга А.П., исследовав материалы дела, мировой судья пришел к выводу о наличии в действиях Нудьга А.П. состава правонарушения, предусмотренного ст. 12.2 ч. 2 КоАП РФ, исходя из следующего.</w:t>
      </w:r>
    </w:p>
    <w:p w:rsidR="0014396B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</w:t>
      </w:r>
      <w:r>
        <w:rPr>
          <w:sz w:val="27"/>
        </w:rPr>
        <w:t>е, установленных законом.</w:t>
      </w:r>
    </w:p>
    <w:p w:rsidR="0014396B">
      <w:pPr>
        <w:widowControl w:val="0"/>
        <w:spacing w:line="322" w:lineRule="atLeast"/>
        <w:ind w:firstLine="708"/>
        <w:jc w:val="both"/>
      </w:pPr>
      <w:r>
        <w:rPr>
          <w:sz w:val="27"/>
        </w:rPr>
        <w:t xml:space="preserve">Положения названной статьи КоАП РФ в обеспечение законности при </w:t>
      </w:r>
      <w:r>
        <w:rPr>
          <w:sz w:val="27"/>
        </w:rPr>
        <w:t>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</w:t>
      </w:r>
      <w:r>
        <w:rPr>
          <w:sz w:val="27"/>
        </w:rPr>
        <w:t>ого законом порядка привлечения лица к административной ответственности.</w:t>
      </w:r>
    </w:p>
    <w:p w:rsidR="0014396B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>
        <w:rPr>
          <w:sz w:val="27"/>
        </w:rPr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>
        <w:rPr>
          <w:sz w:val="27"/>
        </w:rPr>
        <w:t>шения дела.</w:t>
      </w:r>
      <w:r>
        <w:rPr>
          <w:sz w:val="27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</w:t>
      </w:r>
      <w:r>
        <w:rPr>
          <w:sz w:val="27"/>
        </w:rP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4396B">
      <w:pPr>
        <w:widowControl w:val="0"/>
        <w:spacing w:line="322" w:lineRule="atLeast"/>
        <w:ind w:firstLine="760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</w:t>
      </w:r>
      <w:r>
        <w:rPr>
          <w:sz w:val="27"/>
        </w:rPr>
        <w:t>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14396B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В соответствии с ч. </w:t>
      </w:r>
      <w:r>
        <w:rPr>
          <w:sz w:val="27"/>
        </w:rPr>
        <w:t>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rPr>
          <w:sz w:val="27"/>
        </w:rPr>
        <w:t>становлена административная ответственность.</w:t>
      </w:r>
    </w:p>
    <w:p w:rsidR="0014396B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В соответствии с </w:t>
      </w:r>
      <w:hyperlink r:id="rId4" w:history="1">
        <w:r>
          <w:rPr>
            <w:color w:val="0000FF"/>
            <w:sz w:val="27"/>
            <w:u w:val="single"/>
          </w:rPr>
          <w:t>п. 2.3.1</w:t>
        </w:r>
      </w:hyperlink>
      <w:r>
        <w:rPr>
          <w:sz w:val="27"/>
        </w:rPr>
        <w:t xml:space="preserve"> Правил дорожного движения РФ, утвержденных постановлен</w:t>
      </w:r>
      <w:r>
        <w:rPr>
          <w:sz w:val="27"/>
        </w:rPr>
        <w:t>ием Совета Министров - Правительства Российской Федерации от 23 октября 1993 года N 1090 (далее ПДД РФ)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</w:t>
      </w:r>
      <w:r>
        <w:rPr>
          <w:sz w:val="27"/>
        </w:rPr>
        <w:t xml:space="preserve"> с Основными положениями по допуску транспортных средств к эксплуатации и обязанностями должностных лиц по обеспечению безопасности</w:t>
      </w:r>
      <w:r>
        <w:rPr>
          <w:sz w:val="27"/>
        </w:rPr>
        <w:t xml:space="preserve"> дорожного движения.</w:t>
      </w:r>
    </w:p>
    <w:p w:rsidR="0014396B">
      <w:pPr>
        <w:spacing w:line="270" w:lineRule="atLeast"/>
        <w:ind w:firstLine="708"/>
        <w:jc w:val="both"/>
      </w:pPr>
      <w:hyperlink r:id="rId5" w:history="1">
        <w:r>
          <w:rPr>
            <w:color w:val="0000FF"/>
            <w:sz w:val="27"/>
            <w:u w:val="single"/>
          </w:rPr>
          <w:t>Пунктом 2</w:t>
        </w:r>
      </w:hyperlink>
      <w:r>
        <w:rPr>
          <w:sz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</w:t>
      </w:r>
      <w:r>
        <w:rPr>
          <w:sz w:val="27"/>
        </w:rPr>
        <w:t>ти дорожного движения, утвержденных Постановлением Правительства Российской Федерации от 23 октября 1993 года N 1090 (далее - Основные положения), установлено, что на механических транспортных средствах (кроме мопедов, трамваев и троллейбусов) и прицепах д</w:t>
      </w:r>
      <w:r>
        <w:rPr>
          <w:sz w:val="27"/>
        </w:rPr>
        <w:t>олжны быть установлены на предусмотренных для этого местах регистрационные знаки соответствующего образца, а</w:t>
      </w:r>
      <w:r>
        <w:rPr>
          <w:sz w:val="27"/>
        </w:rPr>
        <w:t xml:space="preserve">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14396B">
      <w:pPr>
        <w:spacing w:line="270" w:lineRule="atLeast"/>
        <w:ind w:firstLine="708"/>
        <w:jc w:val="both"/>
      </w:pPr>
      <w:r>
        <w:rPr>
          <w:sz w:val="27"/>
        </w:rPr>
        <w:t>При квалиф</w:t>
      </w:r>
      <w:r>
        <w:rPr>
          <w:sz w:val="27"/>
        </w:rPr>
        <w:t>икации действий лица по части 2 статьи 12.2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</w:t>
      </w:r>
    </w:p>
    <w:p w:rsidR="0014396B">
      <w:pPr>
        <w:spacing w:line="270" w:lineRule="atLeast"/>
        <w:ind w:firstLine="708"/>
        <w:jc w:val="both"/>
      </w:pPr>
      <w:r>
        <w:rPr>
          <w:sz w:val="27"/>
        </w:rPr>
        <w:t>- без государственных регистрацион</w:t>
      </w:r>
      <w:r>
        <w:rPr>
          <w:sz w:val="27"/>
        </w:rPr>
        <w:t>ных знаков (в том числе без одного из них);</w:t>
      </w:r>
    </w:p>
    <w:p w:rsidR="0014396B">
      <w:pPr>
        <w:spacing w:line="270" w:lineRule="atLeast"/>
        <w:ind w:firstLine="708"/>
        <w:jc w:val="both"/>
      </w:pPr>
      <w:r>
        <w:rPr>
          <w:sz w:val="27"/>
        </w:rPr>
        <w:t>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</w:t>
      </w:r>
    </w:p>
    <w:p w:rsidR="0014396B">
      <w:pPr>
        <w:spacing w:line="270" w:lineRule="atLeast"/>
        <w:ind w:firstLine="708"/>
        <w:jc w:val="both"/>
      </w:pPr>
      <w:r>
        <w:rPr>
          <w:sz w:val="27"/>
        </w:rPr>
        <w:t>- с государственным</w:t>
      </w:r>
      <w:r>
        <w:rPr>
          <w:sz w:val="27"/>
        </w:rPr>
        <w:t>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14396B">
      <w:pPr>
        <w:jc w:val="both"/>
      </w:pPr>
      <w:r>
        <w:rPr>
          <w:sz w:val="27"/>
        </w:rPr>
        <w:t xml:space="preserve">(п. 5.1 </w:t>
      </w:r>
      <w:r>
        <w:rPr>
          <w:sz w:val="27"/>
        </w:rPr>
        <w:t>введен</w:t>
      </w:r>
      <w:r>
        <w:rPr>
          <w:sz w:val="27"/>
        </w:rPr>
        <w:t xml:space="preserve"> Постановлением Пленума Верховного Суда РФ от 09.02.2012 N 2).</w:t>
      </w:r>
    </w:p>
    <w:p w:rsidR="0014396B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соответствии с</w:t>
      </w:r>
      <w:r>
        <w:rPr>
          <w:sz w:val="27"/>
        </w:rPr>
        <w:t xml:space="preserve"> </w:t>
      </w:r>
      <w:hyperlink r:id="rId6" w:history="1">
        <w:r>
          <w:rPr>
            <w:color w:val="0000FF"/>
            <w:sz w:val="27"/>
            <w:u w:val="single"/>
          </w:rPr>
          <w:t>частью 2 статьи 12.2</w:t>
        </w:r>
      </w:hyperlink>
      <w:r>
        <w:rPr>
          <w:sz w:val="27"/>
        </w:rPr>
        <w:t xml:space="preserve"> Кодекса Российской Федерации об административных правонарушениях управление транспортным средством без госуда</w:t>
      </w:r>
      <w:r>
        <w:rPr>
          <w:sz w:val="27"/>
        </w:rPr>
        <w:t xml:space="preserve">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7" w:anchor="dst100027" w:history="1">
        <w:r>
          <w:rPr>
            <w:color w:val="0000FF"/>
            <w:sz w:val="27"/>
            <w:u w:val="single"/>
          </w:rPr>
          <w:t>видоизмененными</w:t>
        </w:r>
      </w:hyperlink>
      <w:r>
        <w:rPr>
          <w:sz w:val="27"/>
        </w:rPr>
        <w:t xml:space="preserve"> или оборудованными с применением </w:t>
      </w:r>
      <w:hyperlink r:id="rId7" w:anchor="dst100028" w:history="1">
        <w:r>
          <w:rPr>
            <w:color w:val="0000FF"/>
            <w:sz w:val="27"/>
            <w:u w:val="single"/>
          </w:rPr>
          <w:t>устройств или материалов</w:t>
        </w:r>
      </w:hyperlink>
      <w:r>
        <w:rPr>
          <w:sz w:val="27"/>
        </w:rPr>
        <w:t>, препятствующих идентификации государственных регистрационных знаков либо позволяющих их видоизменить</w:t>
      </w:r>
      <w:r>
        <w:rPr>
          <w:sz w:val="27"/>
        </w:rPr>
        <w:t xml:space="preserve"> ил</w:t>
      </w:r>
      <w:r>
        <w:rPr>
          <w:sz w:val="27"/>
        </w:rPr>
        <w:t>и скрыть,</w:t>
      </w:r>
      <w:r>
        <w:rPr>
          <w:sz w:val="27"/>
        </w:rPr>
        <w:t xml:space="preserve">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4396B">
      <w:pPr>
        <w:ind w:firstLine="708"/>
        <w:jc w:val="both"/>
      </w:pPr>
      <w:r>
        <w:rPr>
          <w:sz w:val="27"/>
        </w:rPr>
        <w:t>Судом установлено, что Нудьга А.П.</w:t>
      </w:r>
      <w:r>
        <w:rPr>
          <w:sz w:val="27"/>
        </w:rPr>
        <w:t xml:space="preserve"> управлял транспортным средством автомобилем марки, государственный номер,</w:t>
      </w:r>
      <w:r>
        <w:rPr>
          <w:sz w:val="27"/>
        </w:rPr>
        <w:t xml:space="preserve"> без государственного регистрационного знака (сзади), двигался в составе автопоезда ВОАВО государственный номер</w:t>
      </w:r>
      <w:r>
        <w:rPr>
          <w:sz w:val="27"/>
        </w:rPr>
        <w:t>, прицеп Леси Трайлер государственный номер</w:t>
      </w:r>
      <w:r>
        <w:rPr>
          <w:sz w:val="27"/>
        </w:rPr>
        <w:t>, чем нарушил п. 2 Основных положений Правил дорожного движе</w:t>
      </w:r>
      <w:r>
        <w:rPr>
          <w:sz w:val="27"/>
        </w:rPr>
        <w:t>ния РФ, ответственность за которое предусмотрена ст. 12.2 ч. 2 Кодекса Российской Федерации об административных правонарушениях.</w:t>
      </w:r>
    </w:p>
    <w:p w:rsidR="0014396B">
      <w:pPr>
        <w:spacing w:line="270" w:lineRule="atLeast"/>
        <w:ind w:firstLine="708"/>
        <w:jc w:val="both"/>
      </w:pPr>
      <w:r>
        <w:rPr>
          <w:sz w:val="27"/>
        </w:rPr>
        <w:t xml:space="preserve">Фактические обстоятельства дела подтверждаются собранными по делу доказательствами: </w:t>
      </w:r>
    </w:p>
    <w:p w:rsidR="0014396B">
      <w:pPr>
        <w:spacing w:line="270" w:lineRule="atLeast"/>
        <w:ind w:firstLine="540"/>
        <w:jc w:val="both"/>
      </w:pPr>
      <w:r>
        <w:rPr>
          <w:sz w:val="27"/>
        </w:rPr>
        <w:t>- протоколом об административном правонарушении</w:t>
      </w:r>
      <w:r>
        <w:rPr>
          <w:sz w:val="27"/>
        </w:rPr>
        <w:t xml:space="preserve">; </w:t>
      </w:r>
    </w:p>
    <w:p w:rsidR="0014396B">
      <w:pPr>
        <w:spacing w:line="270" w:lineRule="atLeast"/>
        <w:ind w:firstLine="540"/>
        <w:jc w:val="both"/>
      </w:pPr>
      <w:r>
        <w:rPr>
          <w:sz w:val="27"/>
        </w:rPr>
        <w:t>- фотоматериалом.</w:t>
      </w:r>
    </w:p>
    <w:p w:rsidR="0014396B">
      <w:pPr>
        <w:spacing w:line="270" w:lineRule="atLeast"/>
        <w:ind w:firstLine="540"/>
        <w:jc w:val="both"/>
      </w:pPr>
      <w:r>
        <w:rPr>
          <w:sz w:val="27"/>
        </w:rPr>
        <w:t>Как усматривается из материалов дела, Нудьга А.П. в установленном законом порядке получал специальное право управления транспортными средствами и ему выдано водительское удостоверение</w:t>
      </w:r>
      <w:r>
        <w:rPr>
          <w:sz w:val="27"/>
        </w:rPr>
        <w:t>.</w:t>
      </w:r>
    </w:p>
    <w:p w:rsidR="0014396B">
      <w:pPr>
        <w:spacing w:line="270" w:lineRule="atLeast"/>
        <w:ind w:firstLine="708"/>
        <w:jc w:val="both"/>
      </w:pPr>
      <w:r>
        <w:rPr>
          <w:sz w:val="27"/>
        </w:rPr>
        <w:t xml:space="preserve">У суда не имеется оснований </w:t>
      </w:r>
      <w:r>
        <w:rPr>
          <w:sz w:val="27"/>
        </w:rPr>
        <w:t>ставить под сомнение указанные документы, в связи с чем, признает их относимыми и допустимыми доказательствами.</w:t>
      </w:r>
    </w:p>
    <w:p w:rsidR="0014396B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действия Нудьга А.П. образуют объективную сторону состава административного правонарушения, предусмотренного </w:t>
      </w:r>
      <w:hyperlink r:id="rId6" w:history="1">
        <w:r>
          <w:rPr>
            <w:color w:val="0000FF"/>
            <w:sz w:val="27"/>
            <w:u w:val="single"/>
          </w:rPr>
          <w:t>частью 2 статьи 12.2</w:t>
        </w:r>
      </w:hyperlink>
      <w:r>
        <w:rPr>
          <w:sz w:val="27"/>
        </w:rPr>
        <w:t xml:space="preserve"> Кодекса Российской Федерации об административных правонарушениях. </w:t>
      </w:r>
    </w:p>
    <w:p w:rsidR="0014396B">
      <w:pPr>
        <w:spacing w:line="270" w:lineRule="atLeast"/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</w:t>
      </w:r>
      <w:r>
        <w:rPr>
          <w:sz w:val="27"/>
        </w:rPr>
        <w:t xml:space="preserve">ивно, в их совокупности, в соответствии с требованиями </w:t>
      </w:r>
      <w:hyperlink r:id="rId8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РФ, мировой судья пришел к обоснованному выводу о винов</w:t>
      </w:r>
      <w:r>
        <w:rPr>
          <w:sz w:val="27"/>
        </w:rPr>
        <w:t xml:space="preserve">ности Нудьга А.П. в совершении административного правонарушения, предусмотренного </w:t>
      </w:r>
      <w:hyperlink r:id="rId9" w:history="1">
        <w:r>
          <w:rPr>
            <w:color w:val="0000FF"/>
            <w:sz w:val="27"/>
            <w:u w:val="single"/>
          </w:rPr>
          <w:t>ч. 2 ст. 12.2</w:t>
        </w:r>
      </w:hyperlink>
      <w:r>
        <w:rPr>
          <w:sz w:val="27"/>
        </w:rPr>
        <w:t xml:space="preserve"> КоАП РФ, поскольку Нудьга А.П. упра</w:t>
      </w:r>
      <w:r>
        <w:rPr>
          <w:sz w:val="27"/>
        </w:rPr>
        <w:t>влял транспортным средством автомобилем марки государственный номер</w:t>
      </w:r>
      <w:r>
        <w:rPr>
          <w:sz w:val="27"/>
        </w:rPr>
        <w:t>, без государственного регистрационного знака (сзади), двигался в составе автопоезда ВОАВО</w:t>
      </w:r>
      <w:r>
        <w:rPr>
          <w:sz w:val="27"/>
        </w:rPr>
        <w:t xml:space="preserve"> государственный номер,</w:t>
      </w:r>
      <w:r>
        <w:rPr>
          <w:sz w:val="27"/>
        </w:rPr>
        <w:t xml:space="preserve"> прицеп Леси Трайлер государственный номер.</w:t>
      </w:r>
    </w:p>
    <w:p w:rsidR="0014396B">
      <w:pPr>
        <w:ind w:firstLine="708"/>
        <w:jc w:val="both"/>
      </w:pPr>
      <w:r>
        <w:rPr>
          <w:sz w:val="27"/>
        </w:rPr>
        <w:t>Требования но</w:t>
      </w:r>
      <w:r>
        <w:rPr>
          <w:sz w:val="27"/>
        </w:rPr>
        <w:t xml:space="preserve">рмы ч. 2 ст. 12.2 КоАП РФ,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Нудьга А.П. не соблюдены.</w:t>
      </w:r>
    </w:p>
    <w:p w:rsidR="0014396B">
      <w:pPr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14396B">
      <w:pPr>
        <w:spacing w:line="270" w:lineRule="atLeast"/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судья считает, что в действиях Нудьга А.П. имеется</w:t>
      </w:r>
      <w:r>
        <w:rPr>
          <w:sz w:val="27"/>
        </w:rPr>
        <w:t xml:space="preserve"> состав правонарушения, предусмотренного ч. 2 ст. 12.2 КоАП РФ, а именно: управление транспортным средством без государственных регистрационных знаков (в том числе без одного из них).</w:t>
      </w:r>
    </w:p>
    <w:p w:rsidR="0014396B">
      <w:pPr>
        <w:ind w:firstLine="708"/>
        <w:jc w:val="both"/>
      </w:pPr>
      <w:r>
        <w:rPr>
          <w:sz w:val="27"/>
        </w:rPr>
        <w:t xml:space="preserve">Оценивая собранные по делу доказательства в совокупности, мировой судья </w:t>
      </w:r>
      <w:r>
        <w:rPr>
          <w:sz w:val="27"/>
        </w:rPr>
        <w:t>считает их достоверными, а вину Нудьга А.П. с достаточной полнотой нашедшей свое подтверждение в ходе судебного разбирательства. У суда не имеется оснований не доверять информации, содержащейся в вышеуказанных документах.</w:t>
      </w:r>
    </w:p>
    <w:p w:rsidR="0014396B">
      <w:pPr>
        <w:ind w:firstLine="708"/>
        <w:jc w:val="both"/>
      </w:pPr>
      <w:r>
        <w:rPr>
          <w:sz w:val="27"/>
        </w:rPr>
        <w:t xml:space="preserve">В соответствии со ст. 3.1 Кодекса </w:t>
      </w:r>
      <w:r>
        <w:rPr>
          <w:sz w:val="27"/>
        </w:rPr>
        <w:t>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>
        <w:rPr>
          <w:sz w:val="27"/>
        </w:rPr>
        <w:t>й, как самим правонарушителем, так и другими лицами.</w:t>
      </w:r>
    </w:p>
    <w:p w:rsidR="0014396B">
      <w:pPr>
        <w:ind w:firstLine="708"/>
        <w:jc w:val="both"/>
      </w:pPr>
      <w:r>
        <w:rPr>
          <w:sz w:val="27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</w:t>
      </w:r>
      <w:r>
        <w:rPr>
          <w:sz w:val="27"/>
        </w:rPr>
        <w:t xml:space="preserve">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4396B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</w:t>
      </w:r>
      <w:r>
        <w:rPr>
          <w:sz w:val="27"/>
        </w:rPr>
        <w:t>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</w:t>
      </w:r>
      <w:r>
        <w:rPr>
          <w:sz w:val="27"/>
        </w:rPr>
        <w:t>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</w:t>
      </w:r>
      <w:r>
        <w:rPr>
          <w:sz w:val="27"/>
        </w:rPr>
        <w:t>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396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</w:t>
      </w:r>
      <w:r>
        <w:rPr>
          <w:sz w:val="27"/>
        </w:rPr>
        <w:t>м которого выступают общественные отношения по поводу эксплуатации транспортного средства, обеспечению безопасности дорожного движения, учитывая полное признание вины, что мировой судья признает обстоятельством, смягчающим административную ответственность,</w:t>
      </w:r>
      <w:r>
        <w:rPr>
          <w:sz w:val="27"/>
        </w:rPr>
        <w:t xml:space="preserve"> отсутствие обстоятельств, отягчающих административную ответственность, учитывая данные о личности Нудьга А.П., ранее не привлекаемого к административной ответственности за совершение аналогичных правонарушений, учитывая имущественное положение</w:t>
      </w:r>
      <w:r>
        <w:rPr>
          <w:sz w:val="27"/>
        </w:rPr>
        <w:t xml:space="preserve"> лица, привл</w:t>
      </w:r>
      <w:r>
        <w:rPr>
          <w:sz w:val="27"/>
        </w:rPr>
        <w:t xml:space="preserve">екаемого к административной ответственности, мировой судья пришел к выводу о возможности назначения наказания в виде административного штрафа, считая данное наказание достаточным для предупреждения совершения новых правонарушений. </w:t>
      </w:r>
    </w:p>
    <w:p w:rsidR="0014396B">
      <w:pPr>
        <w:ind w:firstLine="708"/>
        <w:jc w:val="both"/>
      </w:pPr>
      <w:r>
        <w:rPr>
          <w:sz w:val="27"/>
        </w:rPr>
        <w:t>На основании изложенного</w:t>
      </w:r>
      <w:r>
        <w:rPr>
          <w:sz w:val="27"/>
        </w:rPr>
        <w:t xml:space="preserve"> и руководствуясь </w:t>
      </w:r>
      <w:hyperlink r:id="rId10" w:anchor="/document/12125267/entry/12204" w:history="1">
        <w:r>
          <w:rPr>
            <w:color w:val="0000FF"/>
            <w:sz w:val="27"/>
            <w:u w:val="single"/>
          </w:rPr>
          <w:t>ст.ст.12.2 ч.4</w:t>
        </w:r>
      </w:hyperlink>
      <w:r>
        <w:rPr>
          <w:sz w:val="27"/>
        </w:rPr>
        <w:t xml:space="preserve"> КоАП РФ, </w:t>
      </w:r>
      <w:hyperlink r:id="rId10" w:anchor="/document/12125267/entry/41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4.1-4.3</w:t>
        </w:r>
      </w:hyperlink>
      <w:r>
        <w:rPr>
          <w:sz w:val="27"/>
        </w:rPr>
        <w:t xml:space="preserve">, </w:t>
      </w:r>
      <w:hyperlink r:id="rId10" w:anchor="/document/12125267/entry/299" w:history="1">
        <w:r>
          <w:rPr>
            <w:color w:val="0000FF"/>
            <w:sz w:val="27"/>
            <w:u w:val="single"/>
          </w:rPr>
          <w:t>29.9- 29.11</w:t>
        </w:r>
      </w:hyperlink>
      <w:r>
        <w:rPr>
          <w:sz w:val="27"/>
        </w:rPr>
        <w:t xml:space="preserve"> КоАП РФ, мировой судья</w:t>
      </w:r>
    </w:p>
    <w:p w:rsidR="0014396B" w:rsidP="004855E8">
      <w:pPr>
        <w:jc w:val="center"/>
      </w:pPr>
      <w:r>
        <w:rPr>
          <w:b/>
          <w:sz w:val="27"/>
        </w:rPr>
        <w:t>ПОСТАНОВИЛ:</w:t>
      </w:r>
    </w:p>
    <w:p w:rsidR="0014396B">
      <w:pPr>
        <w:ind w:firstLine="708"/>
        <w:jc w:val="both"/>
      </w:pPr>
      <w:r>
        <w:rPr>
          <w:b/>
          <w:sz w:val="27"/>
        </w:rPr>
        <w:t>Нудьга А.П.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</w:t>
      </w:r>
      <w:r>
        <w:rPr>
          <w:sz w:val="27"/>
        </w:rPr>
        <w:t>ить ему административное наказание в виде административного штрафа в размере 5 000 (пять тысяч) рублей.</w:t>
      </w:r>
    </w:p>
    <w:p w:rsidR="0014396B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Краснодарскому краю (Отдел МВД России по Темрюкскому району), ИНН 2352016535, КПП 235201</w:t>
      </w:r>
      <w:r>
        <w:rPr>
          <w:sz w:val="27"/>
        </w:rPr>
        <w:t xml:space="preserve">001, </w:t>
      </w:r>
      <w:r>
        <w:rPr>
          <w:sz w:val="27"/>
        </w:rPr>
        <w:t>р</w:t>
      </w:r>
      <w:r>
        <w:rPr>
          <w:sz w:val="27"/>
        </w:rPr>
        <w:t>/с 03100643000000011800, банк получателя: ЮЖНОЕ ГУ БАНКА РОССИИ//УФК по Краснодарскому краю г. Краснодар, КБК 18811601123010001140, БИК 010349101, ОКТМО 03651000, УИН 18810423210530008494, назначение платежа – административный штраф.</w:t>
      </w:r>
    </w:p>
    <w:p w:rsidR="0014396B">
      <w:pPr>
        <w:ind w:firstLine="708"/>
        <w:jc w:val="both"/>
      </w:pPr>
      <w:r>
        <w:rPr>
          <w:sz w:val="27"/>
        </w:rPr>
        <w:t>Квитанцию об опл</w:t>
      </w:r>
      <w:r>
        <w:rPr>
          <w:sz w:val="27"/>
        </w:rPr>
        <w:t xml:space="preserve">ате административного штрафа следует представить в судебный участок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14396B">
      <w:pPr>
        <w:ind w:firstLine="708"/>
        <w:jc w:val="both"/>
      </w:pPr>
      <w:r>
        <w:rPr>
          <w:sz w:val="27"/>
        </w:rPr>
        <w:t>Согласно ст. 32.2 К</w:t>
      </w:r>
      <w:r>
        <w:rPr>
          <w:sz w:val="27"/>
        </w:rPr>
        <w:t>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396B">
      <w:pPr>
        <w:ind w:firstLine="708"/>
        <w:jc w:val="both"/>
      </w:pPr>
      <w:r>
        <w:rPr>
          <w:sz w:val="27"/>
        </w:rPr>
        <w:t xml:space="preserve">Согласно ст. 32.2 ч. 1.3 КоАП РФ </w:t>
      </w:r>
      <w:r>
        <w:rPr>
          <w:sz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>
          <w:rPr>
            <w:color w:val="0000FF"/>
            <w:sz w:val="27"/>
            <w:u w:val="single"/>
          </w:rPr>
          <w:t xml:space="preserve">частью </w:t>
        </w:r>
        <w:r>
          <w:rPr>
            <w:color w:val="0000FF"/>
            <w:sz w:val="27"/>
            <w:u w:val="single"/>
          </w:rPr>
          <w:t>1.1 статьи 12.1</w:t>
        </w:r>
      </w:hyperlink>
      <w:r>
        <w:rPr>
          <w:sz w:val="27"/>
        </w:rPr>
        <w:t xml:space="preserve">, </w:t>
      </w:r>
      <w:hyperlink r:id="rId13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14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15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16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17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18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19" w:history="1">
        <w:r>
          <w:rPr>
            <w:color w:val="0000FF"/>
            <w:sz w:val="27"/>
            <w:u w:val="single"/>
          </w:rPr>
          <w:t>статьями</w:t>
        </w:r>
        <w:r>
          <w:rPr>
            <w:color w:val="0000FF"/>
            <w:sz w:val="27"/>
            <w:u w:val="single"/>
          </w:rPr>
          <w:t xml:space="preserve"> 12.24</w:t>
        </w:r>
      </w:hyperlink>
      <w:r>
        <w:rPr>
          <w:sz w:val="27"/>
        </w:rPr>
        <w:t xml:space="preserve">, </w:t>
      </w:r>
      <w:hyperlink r:id="rId20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>,</w:t>
      </w:r>
      <w:r>
        <w:rPr>
          <w:sz w:val="27"/>
        </w:rPr>
        <w:t xml:space="preserve"> </w:t>
      </w:r>
      <w:hyperlink r:id="rId21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</w:t>
      </w:r>
      <w:r>
        <w:rPr>
          <w:sz w:val="27"/>
          <w:u w:val="single"/>
        </w:rPr>
        <w:t xml:space="preserve"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</w:t>
      </w:r>
      <w:r>
        <w:rPr>
          <w:sz w:val="27"/>
          <w:u w:val="single"/>
        </w:rPr>
        <w:t>штрафа</w:t>
      </w:r>
      <w:r>
        <w:rPr>
          <w:sz w:val="27"/>
        </w:rPr>
        <w:t xml:space="preserve">. </w:t>
      </w:r>
      <w:r>
        <w:rPr>
          <w:sz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4396B">
      <w:pPr>
        <w:widowControl w:val="0"/>
        <w:ind w:firstLine="708"/>
        <w:jc w:val="both"/>
      </w:pPr>
      <w:r>
        <w:rPr>
          <w:sz w:val="27"/>
        </w:rPr>
        <w:t>В случае неуплаты административн</w:t>
      </w:r>
      <w:r>
        <w:rPr>
          <w:sz w:val="27"/>
        </w:rPr>
        <w:t xml:space="preserve">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rPr>
          <w:sz w:val="27"/>
        </w:rPr>
        <w:t>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</w:t>
      </w:r>
    </w:p>
    <w:p w:rsidR="0014396B">
      <w:pPr>
        <w:widowControl w:val="0"/>
        <w:ind w:firstLine="426"/>
        <w:jc w:val="both"/>
      </w:pPr>
      <w:r>
        <w:rPr>
          <w:sz w:val="27"/>
        </w:rPr>
        <w:t>Постанов</w:t>
      </w:r>
      <w:r>
        <w:rPr>
          <w:sz w:val="27"/>
        </w:rPr>
        <w:t xml:space="preserve">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</w:t>
      </w:r>
      <w:r>
        <w:rPr>
          <w:sz w:val="27"/>
        </w:rPr>
        <w:t>и) Республики Крым.</w:t>
      </w:r>
    </w:p>
    <w:p w:rsidR="004855E8">
      <w:pPr>
        <w:ind w:firstLine="426"/>
        <w:jc w:val="both"/>
        <w:rPr>
          <w:sz w:val="27"/>
        </w:rPr>
      </w:pPr>
    </w:p>
    <w:p w:rsidR="0014396B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Е.В. Костюкова</w:t>
      </w:r>
    </w:p>
    <w:p w:rsidR="0014396B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6B"/>
    <w:rsid w:val="0014396B"/>
    <w:rsid w:val="00485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consultantplus://offline/ref=B9C31764FF27CA51C66053492A8434EFB9F4216FB231DFC7D96EC7681EE8A838CA6ED2C0F1C52238Z9NEN" TargetMode="External" /><Relationship Id="rId12" Type="http://schemas.openxmlformats.org/officeDocument/2006/relationships/hyperlink" Target="consultantplus://offline/ref=B9C31764FF27CA51C66053492A8434EFB9F4216FB231DFC7D96EC7681EE8A838CA6ED2C5F3C0Z2NEN" TargetMode="External" /><Relationship Id="rId13" Type="http://schemas.openxmlformats.org/officeDocument/2006/relationships/hyperlink" Target="consultantplus://offline/ref=B9C31764FF27CA51C66053492A8434EFB9F4216FB231DFC7D96EC7681EE8A838CA6ED2C5F3C2Z2NBN" TargetMode="External" /><Relationship Id="rId14" Type="http://schemas.openxmlformats.org/officeDocument/2006/relationships/hyperlink" Target="consultantplus://offline/ref=B9C31764FF27CA51C66053492A8434EFB9F4216FB231DFC7D96EC7681EE8A838CA6ED2C5F3CDZ2NEN" TargetMode="External" /><Relationship Id="rId15" Type="http://schemas.openxmlformats.org/officeDocument/2006/relationships/hyperlink" Target="consultantplus://offline/ref=B9C31764FF27CA51C66053492A8434EFB9F4216FB231DFC7D96EC7681EE8A838CA6ED2C5F3CDZ2NCN" TargetMode="External" /><Relationship Id="rId16" Type="http://schemas.openxmlformats.org/officeDocument/2006/relationships/hyperlink" Target="consultantplus://offline/ref=B9C31764FF27CA51C66053492A8434EFB9F4216FB231DFC7D96EC7681EE8A838CA6ED2C5F3CCZ2NFN" TargetMode="External" /><Relationship Id="rId17" Type="http://schemas.openxmlformats.org/officeDocument/2006/relationships/hyperlink" Target="consultantplus://offline/ref=B9C31764FF27CA51C66053492A8434EFB9F4216FB231DFC7D96EC7681EE8A838CA6ED2C2F9C6Z2N2N" TargetMode="External" /><Relationship Id="rId18" Type="http://schemas.openxmlformats.org/officeDocument/2006/relationships/hyperlink" Target="consultantplus://offline/ref=B9C31764FF27CA51C66053492A8434EFB9F4216FB231DFC7D96EC7681EE8A838CA6ED2C2F9C1Z2NAN" TargetMode="External" /><Relationship Id="rId19" Type="http://schemas.openxmlformats.org/officeDocument/2006/relationships/hyperlink" Target="consultantplus://offline/ref=B9C31764FF27CA51C66053492A8434EFB9F4216FB231DFC7D96EC7681EE8A838CA6ED2C4F1ZCN5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5F2C4Z2N2N" TargetMode="External" /><Relationship Id="rId21" Type="http://schemas.openxmlformats.org/officeDocument/2006/relationships/hyperlink" Target="consultantplus://offline/ref=B9C31764FF27CA51C66053492A8434EFB9F4216FB231DFC7D96EC7681EE8A838CA6ED2C3F4C6Z2NDN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0403EF8E6D9C251BEEA9DF2BA29CC79E10693C6715362CEu9wDM" TargetMode="External" /><Relationship Id="rId5" Type="http://schemas.openxmlformats.org/officeDocument/2006/relationships/hyperlink" Target="consultantplus://offline/ref=CE89CD764D9B217FEBC38F0790EA848D70403EF8E6D9C251BEEA9DF2BA29CC79E10693C579u5w1M" TargetMode="External" /><Relationship Id="rId6" Type="http://schemas.openxmlformats.org/officeDocument/2006/relationships/hyperlink" Target="consultantplus://offline/ref=CE89CD764D9B217FEBC38F0790EA848D70403AFCEADAC251BEEA9DF2BA29CC79E10693C178u5wAM" TargetMode="External" /><Relationship Id="rId7" Type="http://schemas.openxmlformats.org/officeDocument/2006/relationships/hyperlink" Target="http://www.consultant.ru/document/cons_doc_LAW_327611/22a8021e55a34bf836a3ee20ba0408f95c24c1bc/" TargetMode="External" /><Relationship Id="rId8" Type="http://schemas.openxmlformats.org/officeDocument/2006/relationships/hyperlink" Target="consultantplus://offline/ref=2BF2EED64918E68C021C6197DC37CA833B897C57C4EBF8D286C326AA94C5C3822D53F80F01BFD03C1C2AM" TargetMode="External" /><Relationship Id="rId9" Type="http://schemas.openxmlformats.org/officeDocument/2006/relationships/hyperlink" Target="consultantplus://offline/ref=2BF2EED64918E68C021C6197DC37CA833B897C57C4EBF8D286C326AA94C5C3822D53F808081B24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