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10C58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91A8D" w:rsidRPr="00510C58">
      <w:pPr>
        <w:pStyle w:val="Heading1"/>
        <w:spacing w:before="0" w:after="0"/>
        <w:jc w:val="right"/>
        <w:rPr>
          <w:sz w:val="24"/>
          <w:szCs w:val="24"/>
        </w:rPr>
      </w:pPr>
      <w:r w:rsidRPr="00510C58">
        <w:rPr>
          <w:rFonts w:ascii="Times New Roman" w:hAnsi="Times New Roman" w:cs="Times New Roman"/>
          <w:b w:val="0"/>
          <w:sz w:val="24"/>
          <w:szCs w:val="24"/>
        </w:rPr>
        <w:t>Дело № 5-74-163/2019</w:t>
      </w:r>
    </w:p>
    <w:p w:rsidR="00510C5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A8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0C58" w:rsidRPr="00510C58" w:rsidP="00510C58"/>
    <w:p w:rsidR="00991A8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0C58">
        <w:rPr>
          <w:rFonts w:ascii="Times New Roman" w:hAnsi="Times New Roman" w:cs="Times New Roman"/>
          <w:b w:val="0"/>
          <w:sz w:val="24"/>
          <w:szCs w:val="24"/>
        </w:rPr>
        <w:t xml:space="preserve">07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510C5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10C58" w:rsidRPr="00510C58" w:rsidP="00510C58"/>
    <w:p w:rsidR="00991A8D" w:rsidRPr="00510C58">
      <w:pPr>
        <w:ind w:firstLine="708"/>
        <w:jc w:val="both"/>
      </w:pPr>
      <w:r w:rsidRPr="00510C58">
        <w:t xml:space="preserve">Мировой судья судебного участка № 74 </w:t>
      </w:r>
      <w:r w:rsidRPr="00510C58">
        <w:t>Сакского</w:t>
      </w:r>
      <w:r w:rsidRPr="00510C58">
        <w:t xml:space="preserve"> судебного района (</w:t>
      </w:r>
      <w:r w:rsidRPr="00510C58">
        <w:t>Сакский</w:t>
      </w:r>
      <w:r w:rsidRPr="00510C58">
        <w:t xml:space="preserve"> муниципальный район и городской округ Саки) Республики Крым </w:t>
      </w:r>
      <w:r w:rsidRPr="00510C58">
        <w:t>Смолий</w:t>
      </w:r>
      <w:r w:rsidRPr="00510C58">
        <w:t xml:space="preserve"> А.М., </w:t>
      </w:r>
    </w:p>
    <w:p w:rsidR="00991A8D" w:rsidRPr="00510C58">
      <w:pPr>
        <w:ind w:firstLine="708"/>
        <w:jc w:val="both"/>
      </w:pPr>
      <w:r w:rsidRPr="00510C58">
        <w:t xml:space="preserve">рассмотрев дело об административном </w:t>
      </w:r>
      <w:r w:rsidRPr="00510C58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 </w:t>
      </w:r>
      <w:r w:rsidRPr="00510C58">
        <w:t xml:space="preserve">г. Саки и </w:t>
      </w:r>
      <w:r w:rsidRPr="00510C58">
        <w:t>Сакском</w:t>
      </w:r>
      <w:r w:rsidRPr="00510C58">
        <w:t xml:space="preserve"> районе Республики Крым, в отношении:</w:t>
      </w:r>
      <w:r w:rsidRPr="00510C58">
        <w:rPr>
          <w:b/>
        </w:rPr>
        <w:t xml:space="preserve"> </w:t>
      </w:r>
    </w:p>
    <w:p w:rsidR="00991A8D" w:rsidRPr="00510C58">
      <w:pPr>
        <w:ind w:left="709"/>
        <w:jc w:val="both"/>
      </w:pPr>
      <w:r w:rsidRPr="00510C58">
        <w:t>Кадук</w:t>
      </w:r>
      <w:r w:rsidRPr="00510C58">
        <w:t xml:space="preserve"> Татьяны Николаевны, </w:t>
      </w:r>
    </w:p>
    <w:p w:rsidR="00991A8D" w:rsidRPr="00510C58">
      <w:pPr>
        <w:ind w:left="709"/>
        <w:jc w:val="both"/>
      </w:pPr>
      <w:r w:rsidRPr="00510C58">
        <w:t xml:space="preserve">паспортные данные, гражданки Российской Федерации, главного </w:t>
      </w:r>
      <w:r w:rsidRPr="00510C58">
        <w:t>бухгалтера сельскохозяйственного производственного кооператива «Юбилейный», зарегистрированной и проживающей по адресу: адрес, данных о привлечении ранее к административной ответственности за совершение административных правонарушений в области финансов, н</w:t>
      </w:r>
      <w:r w:rsidRPr="00510C58">
        <w:t xml:space="preserve">алогов суду не представлено, </w:t>
      </w:r>
    </w:p>
    <w:p w:rsidR="00991A8D" w:rsidRPr="00510C58">
      <w:pPr>
        <w:jc w:val="both"/>
      </w:pPr>
      <w:r w:rsidRPr="00510C58">
        <w:t>о привлечении её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510C58">
      <w:pPr>
        <w:jc w:val="center"/>
      </w:pPr>
    </w:p>
    <w:p w:rsidR="00991A8D" w:rsidRPr="00510C58">
      <w:pPr>
        <w:jc w:val="center"/>
      </w:pPr>
      <w:r w:rsidRPr="00510C58">
        <w:t>УСТАНОВИЛ:</w:t>
      </w:r>
    </w:p>
    <w:p w:rsidR="00991A8D" w:rsidRPr="00510C58">
      <w:pPr>
        <w:jc w:val="both"/>
      </w:pPr>
      <w:r w:rsidRPr="00510C58">
        <w:t>Кадук</w:t>
      </w:r>
      <w:r w:rsidRPr="00510C58">
        <w:t xml:space="preserve"> Т.Н., являясь главным бухгалтером сельск</w:t>
      </w:r>
      <w:r w:rsidRPr="00510C58">
        <w:t xml:space="preserve">охозяйственного производственного кооператива «Юбилейный» (далее – СПК «Юбилейный»), зарегистрированного по адресу: </w:t>
      </w:r>
      <w:r w:rsidRPr="00510C58">
        <w:t xml:space="preserve">Республика Крым, </w:t>
      </w:r>
      <w:r w:rsidRPr="00510C58">
        <w:t>Сакский</w:t>
      </w:r>
      <w:r w:rsidRPr="00510C58">
        <w:t xml:space="preserve"> район, с. Зерновое, ул. Школьная, д. 3, за отчетный период – июнь 2018 г. не представила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510C58">
        <w:t>пунктом 2.2 статьи 11</w:t>
      </w:r>
      <w:r>
        <w:fldChar w:fldCharType="end"/>
      </w:r>
      <w:r w:rsidRPr="00510C58">
        <w:t xml:space="preserve"> Федерального закона от 01.04.1996 N 27-ФЗ "Об индивидуальном (персонифицированном) уч</w:t>
      </w:r>
      <w:r w:rsidRPr="00510C58">
        <w:t>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одного</w:t>
      </w:r>
      <w:r w:rsidRPr="00510C58">
        <w:t xml:space="preserve"> зас</w:t>
      </w:r>
      <w:r w:rsidRPr="00510C58">
        <w:t xml:space="preserve">трахованного лица (форма СЗВ-М). </w:t>
      </w:r>
    </w:p>
    <w:p w:rsidR="00991A8D" w:rsidRPr="00510C58">
      <w:pPr>
        <w:ind w:firstLine="540"/>
        <w:jc w:val="both"/>
      </w:pPr>
      <w:r w:rsidRPr="00510C58">
        <w:t xml:space="preserve">В судебное заседание </w:t>
      </w:r>
      <w:r w:rsidRPr="00510C58">
        <w:t>Кадук</w:t>
      </w:r>
      <w:r w:rsidRPr="00510C58">
        <w:t xml:space="preserve"> Т.Н. не явилась, будучи извещенной надлежащим образом, что подтверждается уведомлением о вручении почтового отправления (судебной повестки). </w:t>
      </w:r>
    </w:p>
    <w:p w:rsidR="00991A8D" w:rsidRPr="00510C58">
      <w:pPr>
        <w:ind w:firstLine="540"/>
        <w:jc w:val="both"/>
      </w:pPr>
      <w:r w:rsidRPr="00510C58">
        <w:t>В пункте 6 Постановления Пленума Верховного Суда Росс</w:t>
      </w:r>
      <w:r w:rsidRPr="00510C58">
        <w:t>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</w:t>
      </w:r>
      <w:r w:rsidRPr="00510C58">
        <w:t>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510C58">
        <w:t xml:space="preserve"> </w:t>
      </w:r>
      <w:r w:rsidRPr="00510C58">
        <w:t>месте</w:t>
      </w:r>
      <w:r w:rsidRPr="00510C58">
        <w:t xml:space="preserve"> судебного рассмотрения. </w:t>
      </w:r>
      <w:r w:rsidRPr="00510C58">
        <w:t>Поскольку КоАП РФ не содержит каких-либо ограничений, связанных с таким извещением, оно в з</w:t>
      </w:r>
      <w:r w:rsidRPr="00510C58">
        <w:t>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</w:t>
      </w:r>
      <w:r w:rsidRPr="00510C58">
        <w:t>й связью и т.п., посредством СМС-сообщения, в случае согласия лица на уведомление таким способом и при фиксации факта отправки и</w:t>
      </w:r>
      <w:r w:rsidRPr="00510C58">
        <w:t xml:space="preserve"> доставки СМС - извещения адресату). </w:t>
      </w:r>
    </w:p>
    <w:p w:rsidR="00991A8D" w:rsidRPr="00510C58">
      <w:pPr>
        <w:ind w:firstLine="540"/>
        <w:jc w:val="both"/>
      </w:pPr>
      <w:r w:rsidRPr="00510C58">
        <w:t xml:space="preserve">Таким образом, </w:t>
      </w:r>
      <w:r w:rsidRPr="00510C58">
        <w:t>Кадук</w:t>
      </w:r>
      <w:r w:rsidRPr="00510C58">
        <w:t xml:space="preserve"> Т.Н. надлежащим образом </w:t>
      </w:r>
      <w:r w:rsidRPr="00510C58">
        <w:t>извещена</w:t>
      </w:r>
      <w:r w:rsidRPr="00510C58">
        <w:t xml:space="preserve"> о времени и месте судебного рассмотр</w:t>
      </w:r>
      <w:r w:rsidRPr="00510C58">
        <w:t xml:space="preserve">ения. </w:t>
      </w:r>
    </w:p>
    <w:p w:rsidR="00991A8D" w:rsidRPr="00510C58">
      <w:pPr>
        <w:ind w:firstLine="540"/>
        <w:jc w:val="both"/>
      </w:pPr>
      <w:r w:rsidRPr="00510C58">
        <w:t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 w:rsidRPr="00510C58">
        <w:t>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</w:t>
      </w:r>
      <w:r w:rsidRPr="00510C58">
        <w:t xml:space="preserve"> поступило ходатайство об отложении рассмотрения дела либо если такое ходатайство оставлено без удовлетворения.</w:t>
      </w:r>
    </w:p>
    <w:p w:rsidR="00991A8D" w:rsidRPr="00510C58">
      <w:pPr>
        <w:ind w:firstLine="540"/>
        <w:jc w:val="both"/>
      </w:pPr>
      <w:r w:rsidRPr="00510C58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</w:t>
      </w:r>
      <w:r w:rsidRPr="00510C58">
        <w:t xml:space="preserve"> административной ответственности. </w:t>
      </w:r>
    </w:p>
    <w:p w:rsidR="00991A8D" w:rsidRPr="00510C58">
      <w:pPr>
        <w:ind w:firstLine="540"/>
        <w:jc w:val="both"/>
      </w:pPr>
      <w:r w:rsidRPr="00510C58">
        <w:t xml:space="preserve">Исследовав материалы дела, суд пришел к выводу о наличии в действиях </w:t>
      </w:r>
      <w:r w:rsidRPr="00510C58">
        <w:t>Кадук</w:t>
      </w:r>
      <w:r w:rsidRPr="00510C58">
        <w:t xml:space="preserve"> Т.Н. состава правонарушения, предусмотренного ст. 15.33.2 КоАП РФ, исходя из следующего.</w:t>
      </w:r>
    </w:p>
    <w:p w:rsidR="00991A8D" w:rsidRPr="00510C58">
      <w:pPr>
        <w:ind w:firstLine="540"/>
        <w:jc w:val="both"/>
      </w:pPr>
      <w:r w:rsidRPr="00510C58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510C58">
        <w:t>пункта 1 статьи 11</w:t>
      </w:r>
      <w:r>
        <w:fldChar w:fldCharType="end"/>
      </w:r>
      <w:r w:rsidRPr="00510C58">
        <w:t xml:space="preserve"> Федерального закона от 01.04.1996 N 27-ФЗ "Об индивидуальном (персонифицированном) учете в системе обязательного пенсионного страхова</w:t>
      </w:r>
      <w:r w:rsidRPr="00510C58">
        <w:t xml:space="preserve">ния"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510C58">
        <w:t>Кадук</w:t>
      </w:r>
      <w:r w:rsidRPr="00510C58">
        <w:t xml:space="preserve"> Т.Н. к административной ответственности) следует, что страхователи представляют предусм</w:t>
      </w:r>
      <w:r w:rsidRPr="00510C58">
        <w:t xml:space="preserve">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510C58">
        <w:t>пунктами 2</w:t>
      </w:r>
      <w:r>
        <w:fldChar w:fldCharType="end"/>
      </w:r>
      <w:r w:rsidRPr="00510C58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510C58">
        <w:t>2.2</w:t>
      </w:r>
      <w:r>
        <w:fldChar w:fldCharType="end"/>
      </w:r>
      <w:r w:rsidRPr="00510C58">
        <w:t xml:space="preserve"> данной статьи сведения для индивидуального (персонифицированного) учета в органы</w:t>
      </w:r>
      <w:r w:rsidRPr="00510C58">
        <w:t xml:space="preserve"> Пенсионного фонда Российской Федерации по месту их регистрации, а сведения, предусмотренные</w:t>
      </w:r>
      <w:r w:rsidRPr="00510C58">
        <w:t xml:space="preserve">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510C58">
        <w:t>пунктом 2.3 указанной статьи</w:t>
      </w:r>
      <w:r>
        <w:fldChar w:fldCharType="end"/>
      </w:r>
      <w:r w:rsidRPr="00510C58">
        <w:t>, - в налоговые органы по месту их учета.</w:t>
      </w:r>
    </w:p>
    <w:p w:rsidR="00991A8D" w:rsidRPr="00510C58">
      <w:pPr>
        <w:ind w:firstLine="540"/>
        <w:jc w:val="both"/>
      </w:pPr>
      <w:r w:rsidRPr="00510C58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510C58">
        <w:t>пункту 2.2 указанной статьи</w:t>
      </w:r>
      <w:r>
        <w:fldChar w:fldCharType="end"/>
      </w:r>
      <w:r w:rsidRPr="00510C58">
        <w:t xml:space="preserve"> страхователь ежемесячно не позднее 15-го числа месяца, следующего за отчетным периодом - м</w:t>
      </w:r>
      <w:r w:rsidRPr="00510C58">
        <w:t>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</w:t>
      </w:r>
      <w:r w:rsidRPr="00510C58">
        <w:t>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510C58">
        <w:t xml:space="preserve"> </w:t>
      </w:r>
      <w:r w:rsidRPr="00510C58">
        <w:t>произведения науки, литературы, искусства, в том числе договоры о передаче полномочий по управлению пр</w:t>
      </w:r>
      <w:r w:rsidRPr="00510C58">
        <w:t xml:space="preserve">авами, заключенные с организацией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510C58">
        <w:t>1</w:t>
      </w:r>
      <w:r>
        <w:fldChar w:fldCharType="end"/>
      </w:r>
      <w:r w:rsidRPr="00510C58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510C58">
        <w:t>2</w:t>
      </w:r>
      <w:r>
        <w:fldChar w:fldCharType="end"/>
      </w:r>
      <w:r w:rsidRPr="00510C58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510C58">
        <w:t>3</w:t>
      </w:r>
      <w:r>
        <w:fldChar w:fldCharType="end"/>
      </w:r>
      <w:r w:rsidRPr="00510C58">
        <w:t>) идентификационный номер налогоплательщика (при наличии у страхователя данных об идентифика</w:t>
      </w:r>
      <w:r w:rsidRPr="00510C58">
        <w:t xml:space="preserve">ционном номере налогоплательщика застрахованного лица). </w:t>
      </w:r>
    </w:p>
    <w:p w:rsidR="00991A8D" w:rsidRPr="00510C58">
      <w:pPr>
        <w:ind w:firstLine="708"/>
        <w:jc w:val="both"/>
      </w:pPr>
      <w:r w:rsidRPr="00510C58">
        <w:t xml:space="preserve">Указанные выше сведения представляются </w:t>
      </w:r>
      <w:r w:rsidRPr="00510C58">
        <w:t>по</w:t>
      </w:r>
      <w:r w:rsidRPr="00510C58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510C58">
        <w:t>форм</w:t>
      </w:r>
      <w:r>
        <w:fldChar w:fldCharType="end"/>
      </w:r>
      <w:r w:rsidRPr="00510C58">
        <w:t>е СЗВ-М "Сведения о застрахованных лицах", утвержденной постановлением Правления Пенсионного Фонда Российской Федерации от 01 февр</w:t>
      </w:r>
      <w:r w:rsidRPr="00510C58">
        <w:t>аля 2016 г. N 83п.</w:t>
      </w:r>
    </w:p>
    <w:p w:rsidR="00991A8D" w:rsidRPr="00510C58">
      <w:pPr>
        <w:ind w:firstLine="708"/>
        <w:jc w:val="both"/>
      </w:pPr>
      <w:r w:rsidRPr="00510C58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510C58">
        <w:t>статьей 15.33.2</w:t>
      </w:r>
      <w:r>
        <w:fldChar w:fldCharType="end"/>
      </w:r>
      <w:r w:rsidRPr="00510C58">
        <w:t xml:space="preserve"> Кодекса Российской Федерации об администрати</w:t>
      </w:r>
      <w:r w:rsidRPr="00510C58"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510C58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10C58">
        <w:t xml:space="preserve"> неполном </w:t>
      </w:r>
      <w:r w:rsidRPr="00510C58">
        <w:t>объеме</w:t>
      </w:r>
      <w:r w:rsidRPr="00510C58">
        <w:t xml:space="preserve"> или в искажен</w:t>
      </w:r>
      <w:r w:rsidRPr="00510C58">
        <w:t>ном виде влечет наложение административного штрафа на должностных лиц в размере от трехсот до пятисот рублей.</w:t>
      </w:r>
    </w:p>
    <w:p w:rsidR="00991A8D" w:rsidRPr="00510C58">
      <w:pPr>
        <w:ind w:firstLine="708"/>
        <w:jc w:val="both"/>
      </w:pPr>
      <w:r w:rsidRPr="00510C58">
        <w:t>Согласно протоколу об административном правонарушении № 98 от 24 апреля 2019 года, он был составлен в отношении главного бухгалтера СПК «Юбилейный</w:t>
      </w:r>
      <w:r w:rsidRPr="00510C58">
        <w:t xml:space="preserve">» </w:t>
      </w:r>
      <w:r w:rsidRPr="00510C58">
        <w:t>Кадук</w:t>
      </w:r>
      <w:r w:rsidRPr="00510C58">
        <w:t xml:space="preserve"> Т.Н. за то, что она в нарушение п. 2.2 ст. 11 Федерального закона «Об индивидуальном </w:t>
      </w:r>
      <w:r w:rsidRPr="00510C58">
        <w:t>(персонифицированном) учете в системе обязательного пенсионного страхования» N 27-ФЗ от 01 апреля 1996 года</w:t>
      </w:r>
      <w:r>
        <w:t>, в Государственное учреждение -</w:t>
      </w:r>
      <w:r w:rsidRPr="00510C58">
        <w:t xml:space="preserve"> Управление Пенсионного </w:t>
      </w:r>
      <w:r w:rsidRPr="00510C58">
        <w:t>Фонда Российской Федерации в</w:t>
      </w:r>
      <w:r w:rsidRPr="00510C58">
        <w:t xml:space="preserve"> г. Саки и </w:t>
      </w:r>
      <w:r w:rsidRPr="00510C58">
        <w:t>Сакском</w:t>
      </w:r>
      <w:r w:rsidRPr="00510C58">
        <w:t xml:space="preserve"> районе Республики Крым представила сведения по форме СЗВ-М «</w:t>
      </w:r>
      <w:r w:rsidRPr="00510C58">
        <w:t>дополняющая</w:t>
      </w:r>
      <w:r w:rsidRPr="00510C58">
        <w:t>» за июнь 2018 года с нарушением установленного срока их представления (не позднее 16 июля 2018 года), а именно 27 февраля 2019 года.</w:t>
      </w:r>
    </w:p>
    <w:p w:rsidR="00991A8D" w:rsidRPr="00510C58">
      <w:pPr>
        <w:ind w:firstLine="708"/>
        <w:jc w:val="both"/>
      </w:pPr>
      <w:r w:rsidRPr="00510C58"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510C58">
        <w:t>л.д</w:t>
      </w:r>
      <w:r w:rsidRPr="00510C58">
        <w:t>. 1), сведениями о застрахов</w:t>
      </w:r>
      <w:r w:rsidRPr="00510C58">
        <w:t xml:space="preserve">анных лицах за отчетный период июнь 2018 г. (форма СЗВ-М «дополняющая»), полученными Управлением Пенсионного Фонда Российской Федерации в г. Саки и </w:t>
      </w:r>
      <w:r w:rsidRPr="00510C58">
        <w:t>Сакском</w:t>
      </w:r>
      <w:r w:rsidRPr="00510C58">
        <w:t xml:space="preserve"> районе Республики Крым 27.02.2019 года (</w:t>
      </w:r>
      <w:r w:rsidRPr="00510C58">
        <w:t>л.д</w:t>
      </w:r>
      <w:r w:rsidRPr="00510C58">
        <w:t>. 4-6), и иными представленными</w:t>
      </w:r>
      <w:r w:rsidRPr="00510C58">
        <w:t xml:space="preserve"> доказательствами. </w:t>
      </w:r>
    </w:p>
    <w:p w:rsidR="00991A8D" w:rsidRPr="00510C58">
      <w:pPr>
        <w:ind w:firstLine="708"/>
        <w:jc w:val="both"/>
      </w:pPr>
      <w:r w:rsidRPr="00510C58">
        <w:t>Не дов</w:t>
      </w:r>
      <w:r w:rsidRPr="00510C58">
        <w:t>ерять приведенным доказательствам у суда нет оснований, поскольку они последовательны, не противоречат друг другу.</w:t>
      </w:r>
    </w:p>
    <w:p w:rsidR="00991A8D" w:rsidRPr="00510C58">
      <w:pPr>
        <w:ind w:firstLine="708"/>
        <w:jc w:val="both"/>
      </w:pPr>
      <w:r w:rsidRPr="00510C58">
        <w:t xml:space="preserve">При таких обстоятельствах в действиях </w:t>
      </w:r>
      <w:r w:rsidRPr="00510C58">
        <w:t>Кадук</w:t>
      </w:r>
      <w:r w:rsidRPr="00510C58">
        <w:t xml:space="preserve"> Т.Н. имеется состав правонарушения, предусмотренного ст. 15.33.2 КоАП РФ, а именно непредставлени</w:t>
      </w:r>
      <w:r w:rsidRPr="00510C58"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</w:t>
      </w:r>
      <w:r w:rsidRPr="00510C58">
        <w:t xml:space="preserve">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91A8D" w:rsidRPr="00510C58">
      <w:pPr>
        <w:ind w:firstLine="708"/>
        <w:jc w:val="both"/>
      </w:pPr>
      <w:r w:rsidRPr="00510C58">
        <w:t>Согласно ч. 2 ст. 4.1 КоАП РФ при назначении административного наказания суд учитывает характер совершенного административного пра</w:t>
      </w:r>
      <w:r w:rsidRPr="00510C58"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1A8D" w:rsidRPr="00510C58">
      <w:pPr>
        <w:ind w:firstLine="708"/>
        <w:jc w:val="both"/>
      </w:pPr>
      <w:r w:rsidRPr="00510C58">
        <w:t xml:space="preserve">Принимая во внимание характер совершенного административного правонарушения, данные о личности </w:t>
      </w:r>
      <w:r w:rsidRPr="00510C58">
        <w:t>Кадук</w:t>
      </w:r>
      <w:r w:rsidRPr="00510C58">
        <w:t xml:space="preserve"> Т.Н., её имуществен</w:t>
      </w:r>
      <w:r w:rsidRPr="00510C58">
        <w:t>ном положении,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КоАП РФ.</w:t>
      </w:r>
    </w:p>
    <w:p w:rsidR="00991A8D" w:rsidRPr="00510C58">
      <w:pPr>
        <w:ind w:firstLine="708"/>
        <w:jc w:val="both"/>
      </w:pPr>
      <w:r w:rsidRPr="00510C58">
        <w:t>При определении вид</w:t>
      </w:r>
      <w:r w:rsidRPr="00510C58">
        <w:t xml:space="preserve">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</w:t>
      </w:r>
      <w:r w:rsidRPr="00510C58">
        <w:t>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510C58">
        <w:t xml:space="preserve"> пред</w:t>
      </w:r>
      <w:r w:rsidRPr="00510C58">
        <w:t xml:space="preserve">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510C58">
        <w:t>раздела II</w:t>
      </w:r>
      <w:r>
        <w:fldChar w:fldCharType="end"/>
      </w:r>
      <w:r w:rsidRPr="00510C58">
        <w:t xml:space="preserve"> настоящего Кодекса или закона субъекта Российской Федерации об административных </w:t>
      </w:r>
      <w:r w:rsidRPr="00510C58">
        <w:t xml:space="preserve"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510C58">
        <w:t>частью 2 статьи 3.4</w:t>
      </w:r>
      <w:r>
        <w:fldChar w:fldCharType="end"/>
      </w:r>
      <w:r w:rsidRPr="00510C58"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510C58">
        <w:t>частью 2</w:t>
      </w:r>
      <w:r>
        <w:fldChar w:fldCharType="end"/>
      </w:r>
      <w:r w:rsidRPr="00510C58">
        <w:t xml:space="preserve"> настоящей статьи</w:t>
      </w:r>
      <w:r w:rsidRPr="00510C58">
        <w:t>.</w:t>
      </w:r>
    </w:p>
    <w:p w:rsidR="00991A8D" w:rsidRPr="00510C58">
      <w:pPr>
        <w:ind w:firstLine="708"/>
        <w:jc w:val="both"/>
      </w:pPr>
      <w:r w:rsidRPr="00510C58">
        <w:t>Согласно сведений</w:t>
      </w:r>
      <w:r w:rsidRPr="00510C58">
        <w:t xml:space="preserve"> из Единого реестра субъектов малого и среднего предпринимательства от 07 июня 2019 года СПК «Юбилейный» относится к категории малого или среднего предпринимательства (</w:t>
      </w:r>
      <w:r w:rsidRPr="00510C58">
        <w:t>микропредприятие</w:t>
      </w:r>
      <w:r w:rsidRPr="00510C58">
        <w:t xml:space="preserve">). </w:t>
      </w:r>
    </w:p>
    <w:p w:rsidR="00991A8D" w:rsidRPr="00510C58">
      <w:pPr>
        <w:ind w:firstLine="708"/>
        <w:jc w:val="both"/>
      </w:pPr>
      <w:r w:rsidRPr="00510C58">
        <w:t xml:space="preserve">Учитывая, что </w:t>
      </w:r>
      <w:r w:rsidRPr="00510C58">
        <w:t>Кадук</w:t>
      </w:r>
      <w:r w:rsidRPr="00510C58">
        <w:t xml:space="preserve"> Т.Н. совершила административн</w:t>
      </w:r>
      <w:r w:rsidRPr="00510C58">
        <w:t>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991A8D" w:rsidRPr="00510C58">
      <w:pPr>
        <w:ind w:firstLine="708"/>
        <w:jc w:val="both"/>
      </w:pPr>
      <w:r w:rsidRPr="00510C58">
        <w:t>На основании изложенного,</w:t>
      </w:r>
      <w:r w:rsidRPr="00510C58">
        <w:t xml:space="preserve"> руководствуясь статьями 3.4, 4.1.1, 29.9, 29.10 Кодекса Российской Федерации об административных правонарушениях, мировой судья </w:t>
      </w:r>
    </w:p>
    <w:p w:rsidR="00510C58">
      <w:pPr>
        <w:jc w:val="center"/>
      </w:pPr>
    </w:p>
    <w:p w:rsidR="00991A8D" w:rsidRPr="00510C58">
      <w:pPr>
        <w:jc w:val="center"/>
      </w:pPr>
      <w:r w:rsidRPr="00510C58">
        <w:t>ПОСТАНОВИЛ:</w:t>
      </w:r>
    </w:p>
    <w:p w:rsidR="00991A8D" w:rsidRPr="00510C58">
      <w:pPr>
        <w:ind w:firstLine="708"/>
        <w:jc w:val="both"/>
      </w:pPr>
      <w:r w:rsidRPr="00510C58">
        <w:t>Кадук</w:t>
      </w:r>
      <w:r w:rsidRPr="00510C58">
        <w:t xml:space="preserve"> Татьяну Николаевну признать виновной в совершении административного правонарушения, предусмотренного ст. 15.</w:t>
      </w:r>
      <w:r w:rsidRPr="00510C58">
        <w:t xml:space="preserve">33.2 Кодекса Российской Федерации об административных правонарушениях, и назначить ей административное наказание с применением ст. 4.1.1 КоАП РФ в виде предупреждения. </w:t>
      </w:r>
    </w:p>
    <w:p w:rsidR="00991A8D">
      <w:pPr>
        <w:ind w:firstLine="708"/>
        <w:jc w:val="both"/>
      </w:pPr>
      <w:r w:rsidRPr="00510C58">
        <w:t>Постановление может быть обжаловано в течение десяти суток со дня вручения или получени</w:t>
      </w:r>
      <w:r w:rsidRPr="00510C58">
        <w:t xml:space="preserve">я копии постановления в </w:t>
      </w:r>
      <w:r w:rsidRPr="00510C58">
        <w:t>Сакский</w:t>
      </w:r>
      <w:r w:rsidRPr="00510C58">
        <w:t xml:space="preserve"> районный суд Республики Крым через мирового судью.</w:t>
      </w:r>
    </w:p>
    <w:p w:rsidR="00510C58">
      <w:pPr>
        <w:ind w:firstLine="708"/>
        <w:jc w:val="both"/>
      </w:pPr>
    </w:p>
    <w:p w:rsidR="00510C58" w:rsidRPr="00510C58">
      <w:pPr>
        <w:ind w:firstLine="708"/>
        <w:jc w:val="both"/>
      </w:pPr>
    </w:p>
    <w:p w:rsidR="00991A8D" w:rsidRPr="00510C58">
      <w:pPr>
        <w:jc w:val="both"/>
      </w:pPr>
      <w:r w:rsidRPr="00510C5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10C58">
        <w:t xml:space="preserve">А.М. </w:t>
      </w:r>
      <w:r w:rsidRPr="00510C58">
        <w:t>Смолий</w:t>
      </w:r>
    </w:p>
    <w:p w:rsidR="00991A8D" w:rsidRPr="00510C5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D"/>
    <w:rsid w:val="00510C58"/>
    <w:rsid w:val="00991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