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E7650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5E2465">
        <w:rPr>
          <w:color w:val="FF0000"/>
          <w:bdr w:val="none" w:sz="0" w:space="0" w:color="auto" w:frame="1"/>
        </w:rPr>
        <w:t>2</w:t>
      </w:r>
      <w:r w:rsidR="004D79B3">
        <w:rPr>
          <w:color w:val="FF0000"/>
          <w:bdr w:val="none" w:sz="0" w:space="0" w:color="auto" w:frame="1"/>
        </w:rPr>
        <w:t>3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FD109A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24</w:t>
      </w:r>
      <w:r w:rsidR="00574B81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01:09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D109A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FD109A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D109A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5E7650">
        <w:rPr>
          <w:bCs/>
        </w:rPr>
        <w:t xml:space="preserve"> </w:t>
      </w:r>
      <w:r w:rsidRPr="005E7650" w:rsidR="005E7650">
        <w:rPr>
          <w:bCs/>
        </w:rPr>
        <w:t xml:space="preserve">двигался со скоростью </w:t>
      </w:r>
      <w:r w:rsidR="005E7650">
        <w:rPr>
          <w:bCs/>
        </w:rPr>
        <w:t>99</w:t>
      </w:r>
      <w:r w:rsidRPr="005E7650" w:rsidR="005E7650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5E7650">
        <w:rPr>
          <w:bCs/>
        </w:rPr>
        <w:t>37</w:t>
      </w:r>
      <w:r w:rsidRPr="005E7650" w:rsidR="005E7650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FD109A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D109A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FD109A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FD109A">
        <w:rPr>
          <w:sz w:val="28"/>
          <w:szCs w:val="28"/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4D79B3" w:rsidR="004D79B3">
        <w:rPr>
          <w:color w:val="FF0000"/>
          <w:bdr w:val="none" w:sz="0" w:space="0" w:color="auto" w:frame="1"/>
        </w:rPr>
        <w:t>0410760300755001232420134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E7650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09A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F101-B5F3-472C-82FC-68042CD2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