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11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</w:t>
      </w:r>
      <w:r w:rsidR="003D1FD6">
        <w:rPr>
          <w:sz w:val="25"/>
          <w:szCs w:val="25"/>
          <w:bdr w:val="none" w:sz="0" w:space="0" w:color="auto" w:frame="1"/>
        </w:rPr>
        <w:t>2</w:t>
      </w:r>
      <w:r w:rsidR="003F3A8A">
        <w:rPr>
          <w:sz w:val="25"/>
          <w:szCs w:val="25"/>
          <w:bdr w:val="none" w:sz="0" w:space="0" w:color="auto" w:frame="1"/>
        </w:rPr>
        <w:t>3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DD662B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07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DD662B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К.Ю.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ся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, о дате, времени и </w:t>
      </w:r>
      <w:r>
        <w:rPr>
          <w:color w:val="FF0000"/>
          <w:sz w:val="25"/>
          <w:szCs w:val="25"/>
          <w:bdr w:val="none" w:sz="0" w:space="0" w:color="auto" w:frame="1"/>
        </w:rPr>
        <w:t>месте рассмотрения дела извещен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3F3A8A">
        <w:rPr>
          <w:bCs/>
          <w:sz w:val="25"/>
          <w:szCs w:val="25"/>
        </w:rPr>
        <w:t>25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DD662B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>
        <w:rPr>
          <w:bCs/>
          <w:sz w:val="25"/>
          <w:szCs w:val="25"/>
        </w:rPr>
        <w:t xml:space="preserve"> привлечен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4A5978">
        <w:rPr>
          <w:bCs/>
          <w:sz w:val="25"/>
          <w:szCs w:val="25"/>
        </w:rPr>
        <w:t>2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4A5978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3F3A8A">
        <w:rPr>
          <w:bCs/>
          <w:sz w:val="25"/>
          <w:szCs w:val="25"/>
        </w:rPr>
        <w:t>08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3F3A8A">
        <w:rPr>
          <w:bCs/>
          <w:sz w:val="25"/>
          <w:szCs w:val="25"/>
        </w:rPr>
        <w:t>06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4A5978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80737A">
        <w:rPr>
          <w:bCs/>
          <w:sz w:val="25"/>
          <w:szCs w:val="25"/>
        </w:rPr>
        <w:t>16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80737A">
        <w:rPr>
          <w:bCs/>
          <w:sz w:val="25"/>
          <w:szCs w:val="25"/>
        </w:rPr>
        <w:t>КР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DD662B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="0080737A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80737A"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>Сидоренко К.Ю.</w:t>
      </w:r>
      <w:r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80737A"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 w:rsidR="0080737A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4A5978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4A5978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4A5978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3F3A8A" w:rsidR="003F3A8A">
        <w:rPr>
          <w:sz w:val="25"/>
          <w:szCs w:val="25"/>
          <w:bdr w:val="none" w:sz="0" w:space="0" w:color="auto" w:frame="1"/>
        </w:rPr>
        <w:t>0410760300755005232420119</w:t>
      </w:r>
      <w:r w:rsidR="00C03101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Секретарь с/з                                                Секретарь с/з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3BE6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0F2DB4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47B72"/>
    <w:rsid w:val="00350142"/>
    <w:rsid w:val="00353419"/>
    <w:rsid w:val="003626F8"/>
    <w:rsid w:val="00383B06"/>
    <w:rsid w:val="00386BAD"/>
    <w:rsid w:val="00390264"/>
    <w:rsid w:val="003948D5"/>
    <w:rsid w:val="003B2121"/>
    <w:rsid w:val="003D1FD6"/>
    <w:rsid w:val="003E4E3F"/>
    <w:rsid w:val="003F3A8A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A597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0737A"/>
    <w:rsid w:val="00823B88"/>
    <w:rsid w:val="008240E7"/>
    <w:rsid w:val="00824D13"/>
    <w:rsid w:val="00846726"/>
    <w:rsid w:val="008478CE"/>
    <w:rsid w:val="008542BB"/>
    <w:rsid w:val="008557C1"/>
    <w:rsid w:val="0085647B"/>
    <w:rsid w:val="0087226F"/>
    <w:rsid w:val="008730F3"/>
    <w:rsid w:val="00883BE6"/>
    <w:rsid w:val="00885641"/>
    <w:rsid w:val="0089046B"/>
    <w:rsid w:val="00892517"/>
    <w:rsid w:val="00894CCB"/>
    <w:rsid w:val="008A1CAB"/>
    <w:rsid w:val="008D6A4F"/>
    <w:rsid w:val="008E66D4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3D8E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17DC6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3101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DD662B"/>
    <w:rsid w:val="00E0055C"/>
    <w:rsid w:val="00E061F5"/>
    <w:rsid w:val="00E45145"/>
    <w:rsid w:val="00E51ACF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7074-3A3E-4FE4-8FFB-056C282B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