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1B73" w:rsidP="000425E9">
      <w:pPr>
        <w:spacing w:after="0" w:line="240" w:lineRule="auto"/>
        <w:ind w:left="-142"/>
        <w:jc w:val="right"/>
        <w:rPr>
          <w:rFonts w:ascii="Times New Roman" w:eastAsia="Times New Roman" w:hAnsi="Times New Roman"/>
          <w:bCs/>
          <w:sz w:val="25"/>
          <w:szCs w:val="25"/>
          <w:lang w:val="ru-RU" w:eastAsia="ru-RU"/>
        </w:rPr>
      </w:pPr>
    </w:p>
    <w:p w:rsidR="00963CB3" w:rsidP="000425E9">
      <w:pPr>
        <w:spacing w:after="0" w:line="240" w:lineRule="auto"/>
        <w:ind w:left="-142"/>
        <w:jc w:val="right"/>
        <w:rPr>
          <w:rFonts w:ascii="Times New Roman" w:eastAsia="Times New Roman" w:hAnsi="Times New Roman"/>
          <w:bCs/>
          <w:sz w:val="25"/>
          <w:szCs w:val="25"/>
          <w:lang w:val="ru-RU" w:eastAsia="ru-RU"/>
        </w:rPr>
      </w:pPr>
      <w:r w:rsidRPr="00273302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>Дело № 05-0</w:t>
      </w:r>
      <w:r w:rsidR="000B29CC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>323</w:t>
      </w:r>
      <w:r w:rsidRPr="00273302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>/77/202</w:t>
      </w:r>
      <w:r w:rsidR="000B29CC">
        <w:rPr>
          <w:rFonts w:ascii="Times New Roman" w:eastAsia="Times New Roman" w:hAnsi="Times New Roman"/>
          <w:bCs/>
          <w:sz w:val="25"/>
          <w:szCs w:val="25"/>
          <w:lang w:val="ru-RU" w:eastAsia="ru-RU"/>
        </w:rPr>
        <w:t>5</w:t>
      </w:r>
    </w:p>
    <w:p w:rsidR="000B29CC" w:rsidRPr="00FB303E" w:rsidP="000B29CC">
      <w:pPr>
        <w:spacing w:after="0" w:line="240" w:lineRule="auto"/>
        <w:ind w:right="19" w:firstLine="709"/>
        <w:jc w:val="right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FB303E">
        <w:rPr>
          <w:rFonts w:ascii="Times New Roman" w:hAnsi="Times New Roman"/>
          <w:color w:val="000000" w:themeColor="text1"/>
          <w:sz w:val="26"/>
          <w:szCs w:val="26"/>
        </w:rPr>
        <w:t>91</w:t>
      </w:r>
      <w:r w:rsidRPr="00FB303E">
        <w:rPr>
          <w:rFonts w:ascii="Times New Roman" w:hAnsi="Times New Roman"/>
          <w:color w:val="000000" w:themeColor="text1"/>
          <w:sz w:val="26"/>
          <w:szCs w:val="26"/>
          <w:lang w:val="en-US"/>
        </w:rPr>
        <w:t>MS</w:t>
      </w:r>
      <w:r w:rsidRPr="00FB303E">
        <w:rPr>
          <w:rFonts w:ascii="Times New Roman" w:hAnsi="Times New Roman"/>
          <w:color w:val="000000" w:themeColor="text1"/>
          <w:sz w:val="26"/>
          <w:szCs w:val="26"/>
        </w:rPr>
        <w:t>0077-01-2025-00201</w:t>
      </w:r>
      <w:r w:rsidRPr="00FB303E" w:rsidR="00FB303E">
        <w:rPr>
          <w:rFonts w:ascii="Times New Roman" w:hAnsi="Times New Roman"/>
          <w:color w:val="000000" w:themeColor="text1"/>
          <w:sz w:val="26"/>
          <w:szCs w:val="26"/>
          <w:lang w:val="ru-RU"/>
        </w:rPr>
        <w:t>7</w:t>
      </w:r>
      <w:r w:rsidRPr="00FB303E">
        <w:rPr>
          <w:rFonts w:ascii="Times New Roman" w:hAnsi="Times New Roman"/>
          <w:color w:val="000000" w:themeColor="text1"/>
          <w:sz w:val="26"/>
          <w:szCs w:val="26"/>
        </w:rPr>
        <w:t>-3</w:t>
      </w:r>
      <w:r w:rsidRPr="00FB303E" w:rsidR="00FB303E">
        <w:rPr>
          <w:rFonts w:ascii="Times New Roman" w:hAnsi="Times New Roman"/>
          <w:color w:val="000000" w:themeColor="text1"/>
          <w:sz w:val="26"/>
          <w:szCs w:val="26"/>
          <w:lang w:val="ru-RU"/>
        </w:rPr>
        <w:t>5</w:t>
      </w:r>
    </w:p>
    <w:p w:rsidR="000B29CC" w:rsidRPr="00273302" w:rsidP="000425E9">
      <w:pPr>
        <w:spacing w:after="0" w:line="240" w:lineRule="auto"/>
        <w:ind w:left="-142"/>
        <w:jc w:val="right"/>
        <w:rPr>
          <w:rFonts w:ascii="Times New Roman" w:eastAsia="Times New Roman" w:hAnsi="Times New Roman"/>
          <w:bCs/>
          <w:sz w:val="25"/>
          <w:szCs w:val="25"/>
          <w:lang w:val="en-US" w:eastAsia="ru-RU"/>
        </w:rPr>
      </w:pPr>
    </w:p>
    <w:p w:rsidR="00963CB3" w:rsidRPr="00273302" w:rsidP="000425E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5"/>
          <w:szCs w:val="25"/>
          <w:lang w:val="ru-RU" w:eastAsia="ru-RU"/>
        </w:rPr>
      </w:pPr>
      <w:r w:rsidRPr="00273302">
        <w:rPr>
          <w:rFonts w:ascii="Times New Roman" w:eastAsia="Times New Roman" w:hAnsi="Times New Roman"/>
          <w:b/>
          <w:bCs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69"/>
        <w:gridCol w:w="5001"/>
      </w:tblGrid>
      <w:tr w:rsidTr="001076E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CB3" w:rsidRPr="00273302" w:rsidP="000B29CC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273302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</w:t>
            </w:r>
            <w:r w:rsidR="005512DE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2</w:t>
            </w:r>
            <w:r w:rsidR="000B29C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5</w:t>
            </w:r>
            <w:r w:rsidR="005512DE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</w:t>
            </w:r>
            <w:r w:rsidR="000B29C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сентября</w:t>
            </w:r>
            <w:r w:rsidRPr="00273302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202</w:t>
            </w:r>
            <w:r w:rsidR="000B29CC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>5</w:t>
            </w:r>
            <w:r w:rsidRPr="00273302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года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CB3" w:rsidRPr="00273302" w:rsidP="000425E9">
            <w:pPr>
              <w:spacing w:after="0" w:line="240" w:lineRule="auto"/>
              <w:ind w:left="-142" w:right="-568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  <w:r w:rsidRPr="00273302"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  <w:t xml:space="preserve">                                             г. Симферополь </w:t>
            </w:r>
          </w:p>
        </w:tc>
      </w:tr>
      <w:tr w:rsidTr="001076E7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CB3" w:rsidRPr="00273302" w:rsidP="000425E9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CB3" w:rsidRPr="00273302" w:rsidP="000425E9">
            <w:pPr>
              <w:spacing w:after="0" w:line="240" w:lineRule="auto"/>
              <w:ind w:left="-142"/>
              <w:rPr>
                <w:rFonts w:ascii="Times New Roman" w:eastAsia="Times New Roman" w:hAnsi="Times New Roman"/>
                <w:sz w:val="25"/>
                <w:szCs w:val="25"/>
                <w:lang w:val="ru-RU" w:eastAsia="ru-RU"/>
              </w:rPr>
            </w:pPr>
          </w:p>
        </w:tc>
      </w:tr>
    </w:tbl>
    <w:p w:rsidR="000B29CC" w:rsidP="005D51C2">
      <w:pPr>
        <w:pStyle w:val="ConsPlusNormal"/>
        <w:ind w:left="-142" w:firstLine="708"/>
        <w:jc w:val="both"/>
        <w:rPr>
          <w:sz w:val="25"/>
          <w:szCs w:val="25"/>
        </w:rPr>
      </w:pPr>
      <w:r w:rsidRPr="00273302">
        <w:rPr>
          <w:sz w:val="25"/>
          <w:szCs w:val="25"/>
        </w:rPr>
        <w:t xml:space="preserve">Мировой судья судебного участка №77 Симферопольского судебного района (Симферопольский </w:t>
      </w:r>
      <w:r w:rsidRPr="00273302">
        <w:rPr>
          <w:sz w:val="25"/>
          <w:szCs w:val="25"/>
        </w:rPr>
        <w:t>муниципальный район) Республики Крым Шевчук К.С.,</w:t>
      </w:r>
      <w:r>
        <w:rPr>
          <w:sz w:val="25"/>
          <w:szCs w:val="25"/>
        </w:rPr>
        <w:t xml:space="preserve"> </w:t>
      </w:r>
      <w:r w:rsidRPr="00273302">
        <w:rPr>
          <w:sz w:val="25"/>
          <w:szCs w:val="25"/>
        </w:rPr>
        <w:t xml:space="preserve"> рассмотрев в открытом судебном заседании</w:t>
      </w:r>
      <w:r w:rsidR="00D94AFF">
        <w:rPr>
          <w:sz w:val="25"/>
          <w:szCs w:val="25"/>
        </w:rPr>
        <w:t xml:space="preserve">, </w:t>
      </w:r>
      <w:r w:rsidRPr="00273302">
        <w:rPr>
          <w:sz w:val="25"/>
          <w:szCs w:val="25"/>
        </w:rPr>
        <w:t xml:space="preserve"> в помещении судебного участка №77 Симферопольского судебного района (Симферопольский муниципальный район) Республики Крым, расположенного по адресу: г. Симферопол</w:t>
      </w:r>
      <w:r w:rsidRPr="00273302">
        <w:rPr>
          <w:sz w:val="25"/>
          <w:szCs w:val="25"/>
        </w:rPr>
        <w:t xml:space="preserve">ь, ул. Куйбышева, 58Д, </w:t>
      </w:r>
      <w:r>
        <w:rPr>
          <w:sz w:val="25"/>
          <w:szCs w:val="25"/>
        </w:rPr>
        <w:t xml:space="preserve"> </w:t>
      </w:r>
      <w:r w:rsidRPr="00273302">
        <w:rPr>
          <w:sz w:val="25"/>
          <w:szCs w:val="25"/>
        </w:rPr>
        <w:t>дело об административном право</w:t>
      </w:r>
      <w:r w:rsidRPr="00273302" w:rsidR="00185BA6">
        <w:rPr>
          <w:sz w:val="25"/>
          <w:szCs w:val="25"/>
        </w:rPr>
        <w:t xml:space="preserve">нарушении, </w:t>
      </w:r>
      <w:r w:rsidR="00BA4F8B">
        <w:rPr>
          <w:sz w:val="25"/>
          <w:szCs w:val="25"/>
        </w:rPr>
        <w:t>в отношении</w:t>
      </w:r>
      <w:r w:rsidR="00FA00C6">
        <w:rPr>
          <w:sz w:val="25"/>
          <w:szCs w:val="25"/>
        </w:rPr>
        <w:t xml:space="preserve"> </w:t>
      </w:r>
    </w:p>
    <w:p w:rsidR="00EA05DE" w:rsidRPr="001C7CCA" w:rsidP="000B29CC">
      <w:pPr>
        <w:pStyle w:val="ConsPlusNormal"/>
        <w:ind w:left="2832"/>
        <w:jc w:val="both"/>
        <w:rPr>
          <w:sz w:val="25"/>
          <w:szCs w:val="25"/>
        </w:rPr>
      </w:pPr>
      <w:r>
        <w:rPr>
          <w:sz w:val="25"/>
          <w:szCs w:val="25"/>
        </w:rPr>
        <w:t>юридического</w:t>
      </w:r>
      <w:r w:rsidRPr="001C7CCA" w:rsidR="00D94AFF">
        <w:rPr>
          <w:sz w:val="25"/>
          <w:szCs w:val="25"/>
        </w:rPr>
        <w:t xml:space="preserve"> лица —</w:t>
      </w:r>
      <w:r>
        <w:rPr>
          <w:sz w:val="25"/>
          <w:szCs w:val="25"/>
        </w:rPr>
        <w:t xml:space="preserve"> </w:t>
      </w:r>
      <w:r w:rsidRPr="001C7CCA" w:rsidR="00D94AFF">
        <w:rPr>
          <w:sz w:val="25"/>
          <w:szCs w:val="25"/>
        </w:rPr>
        <w:t>администрации</w:t>
      </w:r>
      <w:r>
        <w:rPr>
          <w:sz w:val="25"/>
          <w:szCs w:val="25"/>
        </w:rPr>
        <w:t>,</w:t>
      </w:r>
      <w:r w:rsidRPr="001C7CCA" w:rsidR="00D94AFF">
        <w:rPr>
          <w:sz w:val="25"/>
          <w:szCs w:val="25"/>
        </w:rPr>
        <w:t xml:space="preserve"> ИНН, КПП, ОГРН, юридический адрес регистрации,  </w:t>
      </w:r>
    </w:p>
    <w:p w:rsidR="00E86ADC" w:rsidRPr="00273302" w:rsidP="000B29CC">
      <w:pPr>
        <w:pStyle w:val="ConsPlusNormal"/>
        <w:ind w:left="-142"/>
        <w:jc w:val="both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 xml:space="preserve">о привлечении его к административной ответственности за правонарушение, </w:t>
      </w:r>
      <w:r w:rsidRPr="005512DE" w:rsidR="005512DE">
        <w:rPr>
          <w:sz w:val="25"/>
          <w:szCs w:val="25"/>
        </w:rPr>
        <w:t>предусмотренно</w:t>
      </w:r>
      <w:r w:rsidR="005512DE">
        <w:rPr>
          <w:sz w:val="25"/>
          <w:szCs w:val="25"/>
        </w:rPr>
        <w:t>е</w:t>
      </w:r>
      <w:r w:rsidRPr="005512DE" w:rsidR="005512DE">
        <w:rPr>
          <w:sz w:val="25"/>
          <w:szCs w:val="25"/>
        </w:rPr>
        <w:t xml:space="preserve"> статьей 19.7 Кодекса Российской Федерации об административных правонарушениях</w:t>
      </w:r>
      <w:r w:rsidRPr="00273302" w:rsidR="00963CB3">
        <w:rPr>
          <w:sz w:val="25"/>
          <w:szCs w:val="25"/>
        </w:rPr>
        <w:t xml:space="preserve">, </w:t>
      </w:r>
    </w:p>
    <w:p w:rsidR="00963CB3" w:rsidRPr="00273302" w:rsidP="000425E9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5"/>
          <w:szCs w:val="25"/>
          <w:lang w:val="ru-RU" w:eastAsia="ru-RU"/>
        </w:rPr>
      </w:pPr>
      <w:r w:rsidRPr="00273302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УСТАНОВИЛ:</w:t>
      </w:r>
    </w:p>
    <w:p w:rsidR="00963CB3" w:rsidRPr="00273302" w:rsidP="000425E9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5"/>
          <w:szCs w:val="25"/>
          <w:lang w:val="ru-RU" w:eastAsia="ru-RU"/>
        </w:rPr>
      </w:pPr>
    </w:p>
    <w:p w:rsidR="005512DE" w:rsidP="002B3509">
      <w:pPr>
        <w:pStyle w:val="ConsPlusNormal"/>
        <w:ind w:left="-142" w:firstLine="540"/>
        <w:jc w:val="both"/>
        <w:rPr>
          <w:sz w:val="25"/>
          <w:szCs w:val="25"/>
        </w:rPr>
      </w:pPr>
      <w:r w:rsidRPr="005512DE">
        <w:rPr>
          <w:sz w:val="25"/>
          <w:szCs w:val="25"/>
        </w:rPr>
        <w:t xml:space="preserve">Согласно </w:t>
      </w:r>
      <w:r w:rsidR="000B29CC">
        <w:rPr>
          <w:sz w:val="25"/>
          <w:szCs w:val="25"/>
        </w:rPr>
        <w:t xml:space="preserve">протоколу №14-10 об административном правонарушении от 26.08.2025 составленного главным специалистом-экспертом Территориального </w:t>
      </w:r>
      <w:r w:rsidR="005067CB">
        <w:rPr>
          <w:sz w:val="25"/>
          <w:szCs w:val="25"/>
        </w:rPr>
        <w:t>о</w:t>
      </w:r>
      <w:r w:rsidR="000B29CC">
        <w:rPr>
          <w:sz w:val="25"/>
          <w:szCs w:val="25"/>
        </w:rPr>
        <w:t>тдела по г</w:t>
      </w:r>
      <w:r w:rsidR="000B29CC">
        <w:rPr>
          <w:sz w:val="25"/>
          <w:szCs w:val="25"/>
        </w:rPr>
        <w:t>.С</w:t>
      </w:r>
      <w:r w:rsidR="000B29CC">
        <w:rPr>
          <w:sz w:val="25"/>
          <w:szCs w:val="25"/>
        </w:rPr>
        <w:t xml:space="preserve">имферополю и Симферопольскому району </w:t>
      </w:r>
      <w:r w:rsidRPr="000B29CC" w:rsidR="000B29CC">
        <w:rPr>
          <w:sz w:val="25"/>
          <w:szCs w:val="25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г. Севастополю</w:t>
      </w:r>
      <w:r w:rsidR="000B29CC">
        <w:rPr>
          <w:sz w:val="25"/>
          <w:szCs w:val="25"/>
        </w:rPr>
        <w:t xml:space="preserve"> </w:t>
      </w:r>
      <w:r>
        <w:rPr>
          <w:sz w:val="25"/>
          <w:szCs w:val="25"/>
        </w:rPr>
        <w:t>ФИОой</w:t>
      </w:r>
      <w:r w:rsidR="000B29CC">
        <w:rPr>
          <w:sz w:val="25"/>
          <w:szCs w:val="25"/>
        </w:rPr>
        <w:t xml:space="preserve"> А.Г.</w:t>
      </w:r>
      <w:r w:rsidRPr="000B29CC" w:rsidR="000B29CC">
        <w:rPr>
          <w:sz w:val="25"/>
          <w:szCs w:val="25"/>
        </w:rPr>
        <w:t xml:space="preserve"> </w:t>
      </w:r>
      <w:r w:rsidR="000B29CC">
        <w:rPr>
          <w:sz w:val="25"/>
          <w:szCs w:val="25"/>
        </w:rPr>
        <w:t xml:space="preserve">в отношении </w:t>
      </w:r>
      <w:r w:rsidRPr="000B29CC" w:rsidR="000B29CC">
        <w:rPr>
          <w:sz w:val="25"/>
          <w:szCs w:val="25"/>
        </w:rPr>
        <w:t>администрации</w:t>
      </w:r>
      <w:r w:rsidR="005067CB">
        <w:rPr>
          <w:sz w:val="25"/>
          <w:szCs w:val="25"/>
        </w:rPr>
        <w:t xml:space="preserve">, при рассмотрении материалов по контролю выполнения предписания №82-01-14-0361-2025 от 15.07.2025, выявлено, что юридическим лицом не предоставлена информация по выполнению вышеуказанного предписания. Срок предоставления информации установлен до 30.07.2025, информация о выполнении  предписания не предоставлена. </w:t>
      </w:r>
      <w:r w:rsidRPr="005512DE">
        <w:rPr>
          <w:sz w:val="25"/>
          <w:szCs w:val="25"/>
        </w:rPr>
        <w:t xml:space="preserve">Действия </w:t>
      </w:r>
      <w:r w:rsidRPr="005067CB" w:rsidR="005067CB">
        <w:rPr>
          <w:sz w:val="25"/>
          <w:szCs w:val="25"/>
        </w:rPr>
        <w:t xml:space="preserve">администрации </w:t>
      </w:r>
      <w:r w:rsidRPr="005512DE">
        <w:rPr>
          <w:sz w:val="25"/>
          <w:szCs w:val="25"/>
        </w:rPr>
        <w:t>должностным лицом квалифицированы по ст. 19.</w:t>
      </w:r>
      <w:r w:rsidRPr="005512DE">
        <w:rPr>
          <w:sz w:val="25"/>
          <w:szCs w:val="25"/>
        </w:rPr>
        <w:t xml:space="preserve">7 Кодекса Российской Федерации об административных правонарушениях. </w:t>
      </w:r>
    </w:p>
    <w:p w:rsidR="007C34B5" w:rsidP="007C34B5">
      <w:pPr>
        <w:pStyle w:val="ConsPlusNormal"/>
        <w:ind w:left="-142" w:firstLine="540"/>
        <w:jc w:val="both"/>
        <w:rPr>
          <w:sz w:val="25"/>
          <w:szCs w:val="25"/>
        </w:rPr>
      </w:pPr>
      <w:r>
        <w:rPr>
          <w:sz w:val="25"/>
          <w:szCs w:val="25"/>
        </w:rPr>
        <w:t>Представитель</w:t>
      </w:r>
      <w:r w:rsidRPr="007C34B5">
        <w:rPr>
          <w:sz w:val="25"/>
          <w:szCs w:val="25"/>
        </w:rPr>
        <w:t xml:space="preserve"> </w:t>
      </w:r>
      <w:r w:rsidRPr="007C34B5">
        <w:rPr>
          <w:sz w:val="25"/>
          <w:szCs w:val="25"/>
        </w:rPr>
        <w:t>в судебное заседание не явилс</w:t>
      </w:r>
      <w:r>
        <w:rPr>
          <w:sz w:val="25"/>
          <w:szCs w:val="25"/>
        </w:rPr>
        <w:t>я</w:t>
      </w:r>
      <w:r w:rsidRPr="007C34B5">
        <w:rPr>
          <w:sz w:val="25"/>
          <w:szCs w:val="25"/>
        </w:rPr>
        <w:t>, о дате и времени судебного заседа</w:t>
      </w:r>
      <w:r>
        <w:rPr>
          <w:sz w:val="25"/>
          <w:szCs w:val="25"/>
        </w:rPr>
        <w:t xml:space="preserve">ния извещен надлежащим образом, </w:t>
      </w:r>
      <w:r w:rsidRPr="00FB303E">
        <w:rPr>
          <w:sz w:val="25"/>
          <w:szCs w:val="25"/>
        </w:rPr>
        <w:t>н</w:t>
      </w:r>
      <w:r w:rsidRPr="00FB303E">
        <w:rPr>
          <w:sz w:val="25"/>
          <w:szCs w:val="25"/>
        </w:rPr>
        <w:t xml:space="preserve">аправил в адрес суда ходатайство о рассмотрении дела в его отсутствие, вину юридического лица признал в полном объеме, просил назначить </w:t>
      </w:r>
      <w:r w:rsidRPr="00FB303E" w:rsidR="00BA6A10">
        <w:rPr>
          <w:sz w:val="25"/>
          <w:szCs w:val="25"/>
        </w:rPr>
        <w:t xml:space="preserve"> наказание в  виде </w:t>
      </w:r>
      <w:r w:rsidRPr="00FB303E">
        <w:rPr>
          <w:sz w:val="25"/>
          <w:szCs w:val="25"/>
        </w:rPr>
        <w:t>предупре</w:t>
      </w:r>
      <w:r w:rsidRPr="00FB303E" w:rsidR="00BA6A10">
        <w:rPr>
          <w:sz w:val="25"/>
          <w:szCs w:val="25"/>
        </w:rPr>
        <w:t>ж</w:t>
      </w:r>
      <w:r w:rsidRPr="00FB303E">
        <w:rPr>
          <w:sz w:val="25"/>
          <w:szCs w:val="25"/>
        </w:rPr>
        <w:t>дени</w:t>
      </w:r>
      <w:r w:rsidRPr="00FB303E" w:rsidR="00BA6A10">
        <w:rPr>
          <w:sz w:val="25"/>
          <w:szCs w:val="25"/>
        </w:rPr>
        <w:t>я</w:t>
      </w:r>
      <w:r w:rsidRPr="00FB303E">
        <w:rPr>
          <w:sz w:val="25"/>
          <w:szCs w:val="25"/>
        </w:rPr>
        <w:t>.</w:t>
      </w:r>
    </w:p>
    <w:p w:rsidR="00BA6A10" w:rsidP="007C34B5">
      <w:pPr>
        <w:pStyle w:val="ConsPlusNormal"/>
        <w:ind w:left="-142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Представитель </w:t>
      </w:r>
      <w:r w:rsidRPr="000B29CC">
        <w:rPr>
          <w:sz w:val="25"/>
          <w:szCs w:val="25"/>
        </w:rPr>
        <w:t>Межрегионального управления Федеральной службы по надзору в сфере защи</w:t>
      </w:r>
      <w:r w:rsidRPr="000B29CC">
        <w:rPr>
          <w:sz w:val="25"/>
          <w:szCs w:val="25"/>
        </w:rPr>
        <w:t>ты прав потребителей и благополучия человека по Республике Крым и г.Севастополю</w:t>
      </w:r>
      <w:r>
        <w:rPr>
          <w:sz w:val="25"/>
          <w:szCs w:val="25"/>
        </w:rPr>
        <w:t xml:space="preserve"> поддержал доводы изложенные в протоколе </w:t>
      </w:r>
      <w:r w:rsidRPr="00BA6A10">
        <w:rPr>
          <w:sz w:val="25"/>
          <w:szCs w:val="25"/>
        </w:rPr>
        <w:t>№14-10 об административном правонарушении от 26.08.2025</w:t>
      </w:r>
      <w:r>
        <w:rPr>
          <w:sz w:val="25"/>
          <w:szCs w:val="25"/>
        </w:rPr>
        <w:t>. Просил назначить наказание в виде штрафа.</w:t>
      </w:r>
    </w:p>
    <w:p w:rsidR="00554577" w:rsidP="007C34B5">
      <w:pPr>
        <w:pStyle w:val="ConsPlusNormal"/>
        <w:ind w:left="-142" w:firstLine="540"/>
        <w:jc w:val="both"/>
        <w:rPr>
          <w:sz w:val="25"/>
          <w:szCs w:val="25"/>
        </w:rPr>
      </w:pPr>
      <w:r>
        <w:rPr>
          <w:sz w:val="25"/>
          <w:szCs w:val="25"/>
        </w:rPr>
        <w:t>Выслушав п</w:t>
      </w:r>
      <w:r w:rsidRPr="00BA6A10">
        <w:rPr>
          <w:sz w:val="25"/>
          <w:szCs w:val="25"/>
        </w:rPr>
        <w:t>редставител</w:t>
      </w:r>
      <w:r>
        <w:rPr>
          <w:sz w:val="25"/>
          <w:szCs w:val="25"/>
        </w:rPr>
        <w:t>я</w:t>
      </w:r>
      <w:r w:rsidRPr="00BA6A10">
        <w:rPr>
          <w:sz w:val="25"/>
          <w:szCs w:val="25"/>
        </w:rPr>
        <w:t xml:space="preserve"> Межрегионально</w:t>
      </w:r>
      <w:r w:rsidRPr="00BA6A10">
        <w:rPr>
          <w:sz w:val="25"/>
          <w:szCs w:val="25"/>
        </w:rPr>
        <w:t>го управления Федеральной службы по надзору в сфере защиты прав потребителей и благополучия человека по Республике Крым и г.Севастополю</w:t>
      </w:r>
      <w:r>
        <w:rPr>
          <w:sz w:val="25"/>
          <w:szCs w:val="25"/>
        </w:rPr>
        <w:t>, и</w:t>
      </w:r>
      <w:r w:rsidRPr="007C34B5" w:rsidR="007C34B5">
        <w:rPr>
          <w:sz w:val="25"/>
          <w:szCs w:val="25"/>
        </w:rPr>
        <w:t>сследовав материалы дела и доказательства, подтверждающие установленные мировым судьей обстоятельства, оценив их в совокупности, мировой судья приходит к следующему.</w:t>
      </w:r>
    </w:p>
    <w:p w:rsidR="00F81122" w:rsidRPr="001C7CCA" w:rsidP="001C7CCA">
      <w:pPr>
        <w:autoSpaceDE w:val="0"/>
        <w:autoSpaceDN w:val="0"/>
        <w:adjustRightInd w:val="0"/>
        <w:spacing w:after="0" w:line="240" w:lineRule="auto"/>
        <w:ind w:left="-142" w:right="-240" w:firstLine="540"/>
        <w:jc w:val="both"/>
        <w:rPr>
          <w:rFonts w:ascii="Times New Roman" w:hAnsi="Times New Roman" w:eastAsiaTheme="minorEastAsia"/>
          <w:sz w:val="25"/>
          <w:szCs w:val="25"/>
          <w:lang w:val="ru-RU" w:eastAsia="ru-RU"/>
        </w:rPr>
      </w:pP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Исходя из  ч. 1, 2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Юридическое лицо признается виновным в совершении административного правонарушения, если 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будет установлено, что у него имелась возможность для соблюдения правил и норм, за нарушение которых настоящим Кодексом или законами 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субъекта Российской Федерации предусмотрена административная ответственность, но данным лицом не были приняты все зависящие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 от него меры по их соблюдению.</w:t>
      </w:r>
    </w:p>
    <w:p w:rsidR="00F81122" w:rsidRPr="001C7CCA" w:rsidP="001C7CCA">
      <w:pPr>
        <w:autoSpaceDE w:val="0"/>
        <w:autoSpaceDN w:val="0"/>
        <w:adjustRightInd w:val="0"/>
        <w:spacing w:after="0" w:line="240" w:lineRule="auto"/>
        <w:ind w:left="-142" w:right="-240" w:firstLine="540"/>
        <w:jc w:val="both"/>
        <w:rPr>
          <w:rFonts w:ascii="Times New Roman" w:hAnsi="Times New Roman" w:eastAsiaTheme="minorEastAsia"/>
          <w:sz w:val="25"/>
          <w:szCs w:val="25"/>
          <w:lang w:val="ru-RU" w:eastAsia="ru-RU"/>
        </w:rPr>
      </w:pP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Статьей 19.7 Кодекса Российской Федерации об административных правонарушениях установлена административная ответственность за непредставление или несвоевременное представление в государственный орган (должностному лицу), 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.7.1, 19.7.2, 19.7.2-1, 19.7.3, 19.7.5, 19.7.5-1, 19.7.7, 19.7.8, 19.7.9, 19.7.12, 19.7.13, 19.7.14, 19.7.15, 19.8, 19.8.3, частями 2, 7, 8 и 9 статьи 19.34 настоящего Кодекса.</w:t>
      </w:r>
    </w:p>
    <w:p w:rsidR="00F81122" w:rsidRPr="001C7CCA" w:rsidP="001C7CCA">
      <w:pPr>
        <w:autoSpaceDE w:val="0"/>
        <w:autoSpaceDN w:val="0"/>
        <w:adjustRightInd w:val="0"/>
        <w:spacing w:after="0" w:line="240" w:lineRule="auto"/>
        <w:ind w:left="-142" w:right="-240" w:firstLine="540"/>
        <w:jc w:val="both"/>
        <w:rPr>
          <w:rFonts w:ascii="Times New Roman" w:hAnsi="Times New Roman" w:eastAsiaTheme="minorEastAsia"/>
          <w:sz w:val="25"/>
          <w:szCs w:val="25"/>
          <w:lang w:val="ru-RU" w:eastAsia="ru-RU"/>
        </w:rPr>
      </w:pP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Объективную сторону правонарушения, предусмотренного ст. 19.7 Кодекса Российско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й Федерации об административных правонарушениях характеризуют как действия, так и бездействие гражданина, должностного лица, юридического лица, обязанных представить определенную информацию в государственный орган, но не представивших ее или представивших </w:t>
      </w: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 xml:space="preserve">неполную, искаженную информацию. </w:t>
      </w:r>
    </w:p>
    <w:p w:rsidR="00F81122" w:rsidRPr="001C7CCA" w:rsidP="001C7CCA">
      <w:pPr>
        <w:autoSpaceDE w:val="0"/>
        <w:autoSpaceDN w:val="0"/>
        <w:adjustRightInd w:val="0"/>
        <w:spacing w:after="0" w:line="240" w:lineRule="auto"/>
        <w:ind w:left="-142" w:right="-240" w:firstLine="540"/>
        <w:jc w:val="both"/>
        <w:rPr>
          <w:rFonts w:ascii="Times New Roman" w:hAnsi="Times New Roman" w:eastAsiaTheme="minorEastAsia"/>
          <w:sz w:val="25"/>
          <w:szCs w:val="25"/>
          <w:lang w:val="ru-RU" w:eastAsia="ru-RU"/>
        </w:rPr>
      </w:pPr>
      <w:r w:rsidRPr="001C7CCA">
        <w:rPr>
          <w:rFonts w:ascii="Times New Roman" w:hAnsi="Times New Roman" w:eastAsiaTheme="minorEastAsia"/>
          <w:sz w:val="25"/>
          <w:szCs w:val="25"/>
          <w:lang w:val="ru-RU"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государственный орган обязательно.</w:t>
      </w:r>
    </w:p>
    <w:p w:rsidR="00BA6A10" w:rsidP="00F81122">
      <w:pPr>
        <w:pStyle w:val="ConsPlusNormal"/>
        <w:ind w:left="-142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Вина администрации </w:t>
      </w:r>
      <w:r w:rsidRPr="00BA6A10">
        <w:rPr>
          <w:sz w:val="25"/>
          <w:szCs w:val="25"/>
        </w:rPr>
        <w:t xml:space="preserve">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>
        <w:rPr>
          <w:sz w:val="25"/>
          <w:szCs w:val="25"/>
        </w:rPr>
        <w:t>14-10</w:t>
      </w:r>
      <w:r w:rsidRPr="00BA6A10">
        <w:rPr>
          <w:sz w:val="25"/>
          <w:szCs w:val="25"/>
        </w:rPr>
        <w:t xml:space="preserve"> от </w:t>
      </w:r>
      <w:r>
        <w:rPr>
          <w:sz w:val="25"/>
          <w:szCs w:val="25"/>
        </w:rPr>
        <w:t>26.08.2025 и другими материалами дела.</w:t>
      </w:r>
    </w:p>
    <w:p w:rsidR="00BA6A10" w:rsidRPr="00BA6A10" w:rsidP="00BA6A10">
      <w:pPr>
        <w:pStyle w:val="ConsPlusNormal"/>
        <w:ind w:left="-142" w:firstLine="540"/>
        <w:jc w:val="both"/>
        <w:rPr>
          <w:sz w:val="25"/>
          <w:szCs w:val="25"/>
        </w:rPr>
      </w:pPr>
      <w:r w:rsidRPr="00BA6A10">
        <w:rPr>
          <w:sz w:val="25"/>
          <w:szCs w:val="25"/>
        </w:rPr>
        <w:t>У мирового судьи не имеется оснований не доверять</w:t>
      </w:r>
      <w:r w:rsidRPr="00BA6A10">
        <w:rPr>
          <w:sz w:val="25"/>
          <w:szCs w:val="25"/>
        </w:rPr>
        <w:t xml:space="preserve"> вышеуказанным доказательствам, которые отвечают требованиям, предъявляемым Кодексом Российской Федерации об административных правонарушениях, процессуальных нарушений, влекущих невозможность использования содержащихся в них данных, при получении данных до</w:t>
      </w:r>
      <w:r w:rsidRPr="00BA6A10">
        <w:rPr>
          <w:sz w:val="25"/>
          <w:szCs w:val="25"/>
        </w:rPr>
        <w:t xml:space="preserve">казательств допущено не было. </w:t>
      </w:r>
    </w:p>
    <w:p w:rsidR="00BA6A10" w:rsidRPr="00BA6A10" w:rsidP="00BA6A10">
      <w:pPr>
        <w:pStyle w:val="ConsPlusNormal"/>
        <w:ind w:left="-142" w:firstLine="540"/>
        <w:jc w:val="both"/>
        <w:rPr>
          <w:sz w:val="25"/>
          <w:szCs w:val="25"/>
        </w:rPr>
      </w:pPr>
      <w:r w:rsidRPr="00BA6A10">
        <w:rPr>
          <w:sz w:val="25"/>
          <w:szCs w:val="25"/>
        </w:rPr>
        <w:t xml:space="preserve">Место совершения административного правонарушения – Республика Крым, Симферопольский район, </w:t>
      </w:r>
      <w:r>
        <w:rPr>
          <w:sz w:val="25"/>
          <w:szCs w:val="25"/>
        </w:rPr>
        <w:t>с. Мазанка, ул. Школьная, д. 1</w:t>
      </w:r>
      <w:r w:rsidRPr="00BA6A10">
        <w:rPr>
          <w:sz w:val="25"/>
          <w:szCs w:val="25"/>
        </w:rPr>
        <w:t>.</w:t>
      </w:r>
    </w:p>
    <w:p w:rsidR="00BA6A10" w:rsidP="00BA6A10">
      <w:pPr>
        <w:pStyle w:val="ConsPlusNormal"/>
        <w:ind w:left="-142" w:firstLine="540"/>
        <w:jc w:val="both"/>
        <w:rPr>
          <w:sz w:val="25"/>
          <w:szCs w:val="25"/>
        </w:rPr>
      </w:pPr>
      <w:r w:rsidRPr="00BA6A10">
        <w:rPr>
          <w:sz w:val="25"/>
          <w:szCs w:val="25"/>
        </w:rPr>
        <w:t>Время совер</w:t>
      </w:r>
      <w:r w:rsidRPr="00BA6A10">
        <w:rPr>
          <w:sz w:val="25"/>
          <w:szCs w:val="25"/>
        </w:rPr>
        <w:t xml:space="preserve">шения административного правонарушения – </w:t>
      </w:r>
      <w:r w:rsidR="00437B5F">
        <w:rPr>
          <w:sz w:val="25"/>
          <w:szCs w:val="25"/>
        </w:rPr>
        <w:t>30</w:t>
      </w:r>
      <w:r w:rsidRPr="00BA6A10">
        <w:rPr>
          <w:sz w:val="25"/>
          <w:szCs w:val="25"/>
        </w:rPr>
        <w:t>.0</w:t>
      </w:r>
      <w:r w:rsidR="00437B5F">
        <w:rPr>
          <w:sz w:val="25"/>
          <w:szCs w:val="25"/>
        </w:rPr>
        <w:t>7.2025</w:t>
      </w:r>
      <w:r w:rsidRPr="00BA6A10">
        <w:rPr>
          <w:sz w:val="25"/>
          <w:szCs w:val="25"/>
        </w:rPr>
        <w:t>.</w:t>
      </w:r>
    </w:p>
    <w:p w:rsidR="00437B5F" w:rsidRPr="00437B5F" w:rsidP="00437B5F">
      <w:pPr>
        <w:pStyle w:val="ConsPlusNormal"/>
        <w:ind w:left="-142" w:firstLine="540"/>
        <w:jc w:val="both"/>
        <w:rPr>
          <w:sz w:val="25"/>
          <w:szCs w:val="25"/>
        </w:rPr>
      </w:pPr>
      <w:r w:rsidRPr="00437B5F">
        <w:rPr>
          <w:sz w:val="25"/>
          <w:szCs w:val="25"/>
        </w:rPr>
        <w:t>В процессе рассмотрения дела не установлено существенных нарушений действующего административного законодательства РФ, которые бы исключали возможность использования доказательств, исследованных по делу.</w:t>
      </w:r>
      <w:r w:rsidRPr="00437B5F">
        <w:rPr>
          <w:sz w:val="25"/>
          <w:szCs w:val="25"/>
        </w:rPr>
        <w:t xml:space="preserve"> </w:t>
      </w:r>
    </w:p>
    <w:p w:rsidR="00BA6A10" w:rsidP="00437B5F">
      <w:pPr>
        <w:pStyle w:val="ConsPlusNormal"/>
        <w:ind w:left="-142" w:firstLine="540"/>
        <w:jc w:val="both"/>
        <w:rPr>
          <w:sz w:val="25"/>
          <w:szCs w:val="25"/>
        </w:rPr>
      </w:pPr>
      <w:r w:rsidRPr="00437B5F">
        <w:rPr>
          <w:sz w:val="25"/>
          <w:szCs w:val="25"/>
        </w:rPr>
        <w:t>Доказательства, исследованные в судебном заседании, как в их совокупности, так и каждое из них в отдельности, в соответствии со ст. 26.11 Кодекса Российской Федерации об административных правонарушениях, а также с позиции соблюдения требований закона при</w:t>
      </w:r>
      <w:r w:rsidRPr="00437B5F">
        <w:rPr>
          <w:sz w:val="25"/>
          <w:szCs w:val="25"/>
        </w:rPr>
        <w:t xml:space="preserve"> их получении (часть 3 статьи 26.2 Кодекса Российской Федерации об административных правонарушениях) мировой судья оценивает, как относимые и допустимые, полученные в соответствии с требованиями Кодекса Российской Федерации об административных правонарушен</w:t>
      </w:r>
      <w:r w:rsidRPr="00437B5F">
        <w:rPr>
          <w:sz w:val="25"/>
          <w:szCs w:val="25"/>
        </w:rPr>
        <w:t>иях.</w:t>
      </w:r>
    </w:p>
    <w:p w:rsidR="00437B5F" w:rsidP="00437B5F">
      <w:pPr>
        <w:pStyle w:val="ConsPlusNormal"/>
        <w:ind w:left="-142" w:firstLine="708"/>
        <w:jc w:val="both"/>
        <w:rPr>
          <w:sz w:val="25"/>
          <w:szCs w:val="25"/>
        </w:rPr>
      </w:pPr>
      <w:r>
        <w:rPr>
          <w:sz w:val="25"/>
          <w:szCs w:val="25"/>
        </w:rPr>
        <w:t>Протокол</w:t>
      </w:r>
      <w:r w:rsidRPr="00BF7C15">
        <w:rPr>
          <w:sz w:val="25"/>
          <w:szCs w:val="25"/>
        </w:rPr>
        <w:t xml:space="preserve"> об административном правонарушении в отношении администрации </w:t>
      </w:r>
      <w:r w:rsidRPr="00BF7C15">
        <w:rPr>
          <w:sz w:val="25"/>
          <w:szCs w:val="25"/>
        </w:rPr>
        <w:t xml:space="preserve">составлен по установленной форме и уполномоченным на то должностным лицом. </w:t>
      </w:r>
    </w:p>
    <w:p w:rsidR="00437B5F" w:rsidP="00437B5F">
      <w:pPr>
        <w:pStyle w:val="ConsPlusNormal"/>
        <w:ind w:left="-142" w:firstLine="708"/>
        <w:jc w:val="both"/>
        <w:rPr>
          <w:sz w:val="25"/>
          <w:szCs w:val="25"/>
        </w:rPr>
      </w:pPr>
      <w:r w:rsidRPr="00BF7C15">
        <w:rPr>
          <w:sz w:val="25"/>
          <w:szCs w:val="25"/>
        </w:rPr>
        <w:t xml:space="preserve">Процессуальных нарушений со стороны органа, составившего протокол об административном правонарушении, а также других материалов дела, которые затрагивали бы права и законные интересы  </w:t>
      </w:r>
      <w:r w:rsidRPr="00437B5F">
        <w:rPr>
          <w:sz w:val="25"/>
          <w:szCs w:val="25"/>
        </w:rPr>
        <w:t>администрации</w:t>
      </w:r>
      <w:r w:rsidRPr="00BF7C15">
        <w:rPr>
          <w:sz w:val="25"/>
          <w:szCs w:val="25"/>
        </w:rPr>
        <w:t>, при рассмотрении дела не установлено.</w:t>
      </w:r>
    </w:p>
    <w:p w:rsidR="00437B5F" w:rsidP="00437B5F">
      <w:pPr>
        <w:pStyle w:val="ConsPlusNormal"/>
        <w:ind w:left="-142" w:firstLine="708"/>
        <w:jc w:val="both"/>
        <w:rPr>
          <w:sz w:val="25"/>
          <w:szCs w:val="25"/>
          <w:highlight w:val="yellow"/>
        </w:rPr>
      </w:pPr>
      <w:r w:rsidRPr="0047089C">
        <w:rPr>
          <w:sz w:val="25"/>
          <w:szCs w:val="25"/>
        </w:rPr>
        <w:t xml:space="preserve">Таким образом, </w:t>
      </w:r>
      <w:r w:rsidRPr="00BF7C15">
        <w:rPr>
          <w:sz w:val="25"/>
          <w:szCs w:val="25"/>
        </w:rPr>
        <w:t>администраци</w:t>
      </w:r>
      <w:r>
        <w:rPr>
          <w:sz w:val="25"/>
          <w:szCs w:val="25"/>
        </w:rPr>
        <w:t>ей</w:t>
      </w:r>
      <w:r w:rsidRPr="0047089C">
        <w:rPr>
          <w:sz w:val="25"/>
          <w:szCs w:val="25"/>
        </w:rPr>
        <w:t>, имея возможность для соблюдения правил и норм, за нарушение которых Кодексом Российской Федерации об а</w:t>
      </w:r>
      <w:r w:rsidRPr="0047089C">
        <w:rPr>
          <w:sz w:val="25"/>
          <w:szCs w:val="25"/>
        </w:rPr>
        <w:t>дминистративных правонарушениях предусмотрена административная ответственность, не приня</w:t>
      </w:r>
      <w:r>
        <w:rPr>
          <w:sz w:val="25"/>
          <w:szCs w:val="25"/>
        </w:rPr>
        <w:t>ты</w:t>
      </w:r>
      <w:r w:rsidRPr="0047089C">
        <w:rPr>
          <w:sz w:val="25"/>
          <w:szCs w:val="25"/>
        </w:rPr>
        <w:t xml:space="preserve"> все зависящие от него меры по их соблюдению.</w:t>
      </w:r>
    </w:p>
    <w:p w:rsidR="0047089C" w:rsidP="00982374">
      <w:pPr>
        <w:pStyle w:val="ConsPlusNormal"/>
        <w:ind w:left="-142" w:firstLine="708"/>
        <w:jc w:val="both"/>
        <w:rPr>
          <w:sz w:val="25"/>
          <w:szCs w:val="25"/>
        </w:rPr>
      </w:pPr>
      <w:r w:rsidRPr="0047089C">
        <w:rPr>
          <w:sz w:val="25"/>
          <w:szCs w:val="25"/>
        </w:rPr>
        <w:t xml:space="preserve">Анализируя имеющиеся доказательства, каждое в отдельности и в их совокупности, по своему внутреннему убеждению, основанному на всестороннем исследовании всех материалов дела мировой судья приходит к выводу о наличии вины </w:t>
      </w:r>
      <w:r w:rsidRPr="00BF7C15">
        <w:rPr>
          <w:sz w:val="25"/>
          <w:szCs w:val="25"/>
        </w:rPr>
        <w:t>администрации</w:t>
      </w:r>
      <w:r>
        <w:rPr>
          <w:sz w:val="25"/>
          <w:szCs w:val="25"/>
        </w:rPr>
        <w:t xml:space="preserve"> </w:t>
      </w:r>
      <w:r w:rsidRPr="0047089C">
        <w:rPr>
          <w:sz w:val="25"/>
          <w:szCs w:val="25"/>
        </w:rPr>
        <w:t xml:space="preserve"> в совершении правонарушения, предусмотренного ст. 19.7 </w:t>
      </w:r>
      <w:r w:rsidRPr="00437B5F" w:rsidR="00437B5F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47089C">
        <w:rPr>
          <w:sz w:val="25"/>
          <w:szCs w:val="25"/>
        </w:rPr>
        <w:t>и квалифицирует е</w:t>
      </w:r>
      <w:r>
        <w:rPr>
          <w:sz w:val="25"/>
          <w:szCs w:val="25"/>
        </w:rPr>
        <w:t xml:space="preserve">го </w:t>
      </w:r>
      <w:r w:rsidRPr="0047089C">
        <w:rPr>
          <w:sz w:val="25"/>
          <w:szCs w:val="25"/>
        </w:rPr>
        <w:t xml:space="preserve">действия по ст. 19.7 КоАП РФ - непредставление в государственный </w:t>
      </w:r>
      <w:r w:rsidRPr="0047089C">
        <w:rPr>
          <w:sz w:val="25"/>
          <w:szCs w:val="25"/>
        </w:rPr>
        <w:t>орган (должностному лицу), осуществляющий (осуществляющему) государственный</w:t>
      </w:r>
      <w:r w:rsidRPr="0047089C">
        <w:rPr>
          <w:sz w:val="25"/>
          <w:szCs w:val="25"/>
        </w:rPr>
        <w:t xml:space="preserve">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</w:t>
      </w:r>
      <w:r w:rsidRPr="0047089C">
        <w:rPr>
          <w:sz w:val="25"/>
          <w:szCs w:val="25"/>
        </w:rPr>
        <w:t>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19.7.2.1, 19.7.3, 19.7.5, 19.7.5.1, 19.7.5.</w:t>
      </w:r>
      <w:r w:rsidRPr="0047089C">
        <w:rPr>
          <w:sz w:val="25"/>
          <w:szCs w:val="25"/>
        </w:rPr>
        <w:t xml:space="preserve">2, 19.7.7, 19.7.8, 19.7.9, 19.7.12, 19.7.13, 19.8, 19.8.3 </w:t>
      </w:r>
      <w:r w:rsidRPr="00437B5F" w:rsidR="00437B5F">
        <w:rPr>
          <w:sz w:val="25"/>
          <w:szCs w:val="25"/>
        </w:rPr>
        <w:t>Кодекса Российской Федерации об административных правонарушениях</w:t>
      </w:r>
      <w:r w:rsidRPr="0047089C">
        <w:rPr>
          <w:sz w:val="25"/>
          <w:szCs w:val="25"/>
        </w:rPr>
        <w:t>.</w:t>
      </w:r>
    </w:p>
    <w:p w:rsidR="00437B5F" w:rsidP="00437B5F">
      <w:pPr>
        <w:pStyle w:val="ConsPlusNormal"/>
        <w:ind w:left="-142" w:firstLine="540"/>
        <w:jc w:val="both"/>
        <w:rPr>
          <w:sz w:val="25"/>
          <w:szCs w:val="25"/>
        </w:rPr>
      </w:pPr>
      <w:r w:rsidRPr="001C7CCA">
        <w:rPr>
          <w:sz w:val="25"/>
          <w:szCs w:val="25"/>
        </w:rPr>
        <w:t xml:space="preserve">Мировой судья, обсуждая вопрос об административном наказании, отмечает следующее. </w:t>
      </w:r>
    </w:p>
    <w:p w:rsidR="0047089C" w:rsidRPr="001C7CCA" w:rsidP="00437B5F">
      <w:pPr>
        <w:pStyle w:val="ConsPlusNormal"/>
        <w:ind w:left="-142" w:firstLine="540"/>
        <w:jc w:val="both"/>
        <w:rPr>
          <w:sz w:val="25"/>
          <w:szCs w:val="25"/>
        </w:rPr>
      </w:pPr>
      <w:r w:rsidRPr="00437B5F">
        <w:rPr>
          <w:sz w:val="25"/>
          <w:szCs w:val="25"/>
        </w:rPr>
        <w:t xml:space="preserve">В соответствии с ч. 1 ст. 3.1 Кодекса Российской </w:t>
      </w:r>
      <w:r w:rsidRPr="00437B5F">
        <w:rPr>
          <w:sz w:val="25"/>
          <w:szCs w:val="25"/>
        </w:rPr>
        <w:t>Федерации об административных правонарушениях целью административного наказания является установленная государством мера ответственности за совершение административного правонарушения, которая применяется в целях предупреждения совершения новых правонаруше</w:t>
      </w:r>
      <w:r w:rsidRPr="00437B5F">
        <w:rPr>
          <w:sz w:val="25"/>
          <w:szCs w:val="25"/>
        </w:rPr>
        <w:t>ний, как самим правонарушителем, так и другими лицами.</w:t>
      </w:r>
    </w:p>
    <w:p w:rsidR="00D9697D" w:rsidRPr="00D9697D" w:rsidP="00D9697D">
      <w:pPr>
        <w:pStyle w:val="ConsPlusNormal"/>
        <w:ind w:firstLine="426"/>
        <w:jc w:val="both"/>
        <w:rPr>
          <w:sz w:val="25"/>
          <w:szCs w:val="25"/>
        </w:rPr>
      </w:pPr>
      <w:r w:rsidRPr="00D9697D">
        <w:rPr>
          <w:sz w:val="25"/>
          <w:szCs w:val="25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</w:t>
      </w:r>
      <w:r w:rsidRPr="00D9697D">
        <w:rPr>
          <w:sz w:val="25"/>
          <w:szCs w:val="25"/>
        </w:rPr>
        <w:t xml:space="preserve">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437B5F" w:rsidR="00437B5F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D9697D">
        <w:rPr>
          <w:sz w:val="25"/>
          <w:szCs w:val="25"/>
        </w:rPr>
        <w:t>(ч. 1 ст. 4.</w:t>
      </w:r>
      <w:r w:rsidRPr="00D9697D">
        <w:rPr>
          <w:sz w:val="25"/>
          <w:szCs w:val="25"/>
        </w:rPr>
        <w:t xml:space="preserve">1 </w:t>
      </w:r>
      <w:r w:rsidRPr="00437B5F" w:rsidR="00437B5F">
        <w:rPr>
          <w:sz w:val="25"/>
          <w:szCs w:val="25"/>
        </w:rPr>
        <w:t>Кодекса Российской Федерации об административных правонарушениях</w:t>
      </w:r>
      <w:r w:rsidRPr="00D9697D">
        <w:rPr>
          <w:sz w:val="25"/>
          <w:szCs w:val="25"/>
        </w:rPr>
        <w:t>).</w:t>
      </w:r>
    </w:p>
    <w:p w:rsidR="00D9697D" w:rsidRPr="00D9697D" w:rsidP="00D9697D">
      <w:pPr>
        <w:pStyle w:val="ConsPlusNormal"/>
        <w:ind w:firstLine="426"/>
        <w:jc w:val="both"/>
        <w:rPr>
          <w:sz w:val="25"/>
          <w:szCs w:val="25"/>
        </w:rPr>
      </w:pPr>
      <w:r w:rsidRPr="00D9697D">
        <w:rPr>
          <w:sz w:val="25"/>
          <w:szCs w:val="25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</w:t>
      </w:r>
      <w:r w:rsidRPr="00D9697D">
        <w:rPr>
          <w:sz w:val="25"/>
          <w:szCs w:val="25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 (ч. 3 ст. 4.1 </w:t>
      </w:r>
      <w:r w:rsidRPr="005728F1" w:rsidR="005728F1">
        <w:rPr>
          <w:sz w:val="25"/>
          <w:szCs w:val="25"/>
        </w:rPr>
        <w:t>Кодекса Российской Федерации об административных правонарушениях</w:t>
      </w:r>
      <w:r w:rsidRPr="00D9697D">
        <w:rPr>
          <w:sz w:val="25"/>
          <w:szCs w:val="25"/>
        </w:rPr>
        <w:t xml:space="preserve">). </w:t>
      </w:r>
    </w:p>
    <w:p w:rsidR="00FB303E" w:rsidP="001C7CCA">
      <w:pPr>
        <w:pStyle w:val="ConsPlusNormal"/>
        <w:ind w:firstLine="426"/>
        <w:jc w:val="both"/>
        <w:rPr>
          <w:sz w:val="25"/>
          <w:szCs w:val="25"/>
        </w:rPr>
      </w:pPr>
      <w:r w:rsidRPr="00D9697D">
        <w:rPr>
          <w:sz w:val="25"/>
          <w:szCs w:val="25"/>
        </w:rPr>
        <w:t xml:space="preserve">Законодатель, установив названные положения в </w:t>
      </w:r>
      <w:r w:rsidRPr="005728F1" w:rsidR="005728F1">
        <w:rPr>
          <w:sz w:val="25"/>
          <w:szCs w:val="25"/>
        </w:rPr>
        <w:t>Кодекса Российской Федерации об административных правонарушениях</w:t>
      </w:r>
      <w:r w:rsidRPr="00D9697D">
        <w:rPr>
          <w:sz w:val="25"/>
          <w:szCs w:val="25"/>
        </w:rPr>
        <w:t xml:space="preserve">, тем самым предоставил возможность судье, рассматривающему дело об административном правонарушении, индивидуализировать наказание в каждом конкретном случае. </w:t>
      </w:r>
    </w:p>
    <w:p w:rsidR="00227471" w:rsidRPr="00227471" w:rsidP="001C7CCA">
      <w:pPr>
        <w:pStyle w:val="ConsPlusNormal"/>
        <w:ind w:firstLine="426"/>
        <w:jc w:val="both"/>
        <w:rPr>
          <w:sz w:val="25"/>
          <w:szCs w:val="25"/>
        </w:rPr>
      </w:pPr>
      <w:r w:rsidRPr="00D9697D">
        <w:rPr>
          <w:sz w:val="25"/>
          <w:szCs w:val="25"/>
        </w:rPr>
        <w:t>При этом,  назначение административн</w:t>
      </w:r>
      <w:r w:rsidRPr="00D9697D">
        <w:rPr>
          <w:sz w:val="25"/>
          <w:szCs w:val="25"/>
        </w:rPr>
        <w:t>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</w:t>
      </w:r>
      <w:r w:rsidRPr="00D9697D">
        <w:rPr>
          <w:sz w:val="25"/>
          <w:szCs w:val="25"/>
        </w:rPr>
        <w:t xml:space="preserve">тративное правонарушение, именно той меры государственного принуждения, которая с наибольшим эффектом достигала бы целей восстановления социальной </w:t>
      </w:r>
      <w:r w:rsidRPr="00D9697D">
        <w:rPr>
          <w:sz w:val="25"/>
          <w:szCs w:val="25"/>
        </w:rPr>
        <w:t xml:space="preserve">справедливости, исправления правонарушителя и предупреждения совершения новых противоправных деяний, а также </w:t>
      </w:r>
      <w:r w:rsidRPr="00D9697D">
        <w:rPr>
          <w:sz w:val="25"/>
          <w:szCs w:val="25"/>
        </w:rPr>
        <w:t>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  <w:r w:rsidRPr="00227471">
        <w:rPr>
          <w:sz w:val="25"/>
          <w:szCs w:val="25"/>
        </w:rPr>
        <w:t xml:space="preserve"> </w:t>
      </w:r>
    </w:p>
    <w:p w:rsidR="00227471" w:rsidP="001C7CCA">
      <w:pPr>
        <w:pStyle w:val="ConsPlusNormal"/>
        <w:ind w:left="-142" w:firstLine="708"/>
        <w:jc w:val="both"/>
        <w:rPr>
          <w:sz w:val="25"/>
          <w:szCs w:val="25"/>
        </w:rPr>
      </w:pPr>
      <w:r w:rsidRPr="001C7CCA">
        <w:rPr>
          <w:sz w:val="25"/>
          <w:szCs w:val="25"/>
        </w:rPr>
        <w:t>С учетом вышеизложенного мировой судья считает, что для достижения целей административно</w:t>
      </w:r>
      <w:r w:rsidRPr="001C7CCA">
        <w:rPr>
          <w:sz w:val="25"/>
          <w:szCs w:val="25"/>
        </w:rPr>
        <w:t xml:space="preserve">го наказания для администрации </w:t>
      </w:r>
      <w:r w:rsidRPr="001C7CCA">
        <w:rPr>
          <w:sz w:val="25"/>
          <w:szCs w:val="25"/>
        </w:rPr>
        <w:t>необходимо и достаточно установить минимальное административное наказание, предусмотренное санкцией статьи 19.7 Кодекса Российской Федерации об административ</w:t>
      </w:r>
      <w:r w:rsidRPr="001C7CCA">
        <w:rPr>
          <w:sz w:val="25"/>
          <w:szCs w:val="25"/>
        </w:rPr>
        <w:t>ных правонарушениях.</w:t>
      </w:r>
    </w:p>
    <w:p w:rsidR="001C7CCA" w:rsidRPr="001C7CCA" w:rsidP="001C7CCA">
      <w:pPr>
        <w:pStyle w:val="ConsPlusNormal"/>
        <w:ind w:left="-142" w:firstLine="708"/>
        <w:jc w:val="both"/>
        <w:rPr>
          <w:sz w:val="25"/>
          <w:szCs w:val="25"/>
        </w:rPr>
      </w:pPr>
      <w:r w:rsidRPr="001C7CCA">
        <w:rPr>
          <w:sz w:val="25"/>
          <w:szCs w:val="25"/>
        </w:rPr>
        <w:t>На основании изложенного, руководствуясь ст.ст. 29.9 - 29.11 Кодекса РФ об административных правонарушениях, мировой судья,-</w:t>
      </w:r>
    </w:p>
    <w:p w:rsidR="001C7CCA" w:rsidRPr="00273302" w:rsidP="001C7CCA">
      <w:pPr>
        <w:pStyle w:val="ConsPlusNormal"/>
        <w:ind w:left="-142" w:firstLine="708"/>
        <w:jc w:val="both"/>
        <w:rPr>
          <w:sz w:val="25"/>
          <w:szCs w:val="25"/>
        </w:rPr>
      </w:pPr>
    </w:p>
    <w:p w:rsidR="00963CB3" w:rsidRPr="00273302" w:rsidP="000425E9">
      <w:pPr>
        <w:pStyle w:val="ConsPlusNormal"/>
        <w:ind w:left="-142"/>
        <w:jc w:val="center"/>
        <w:rPr>
          <w:b/>
          <w:color w:val="000000" w:themeColor="text1"/>
          <w:sz w:val="25"/>
          <w:szCs w:val="25"/>
        </w:rPr>
      </w:pPr>
      <w:r w:rsidRPr="00273302">
        <w:rPr>
          <w:b/>
          <w:color w:val="000000" w:themeColor="text1"/>
          <w:sz w:val="25"/>
          <w:szCs w:val="25"/>
        </w:rPr>
        <w:t>ПОСТАНОВИЛ:</w:t>
      </w:r>
    </w:p>
    <w:p w:rsidR="00963CB3" w:rsidRPr="00273302" w:rsidP="000425E9">
      <w:pPr>
        <w:pStyle w:val="ConsPlusNormal"/>
        <w:ind w:left="-142"/>
        <w:jc w:val="center"/>
        <w:rPr>
          <w:sz w:val="25"/>
          <w:szCs w:val="25"/>
        </w:rPr>
      </w:pPr>
    </w:p>
    <w:p w:rsidR="001C7CCA" w:rsidP="00B11442">
      <w:pPr>
        <w:pStyle w:val="1"/>
        <w:ind w:left="-14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Юридическое лицо - </w:t>
      </w:r>
      <w:r w:rsidRPr="00273302" w:rsidR="00AB6DBC">
        <w:rPr>
          <w:sz w:val="25"/>
          <w:szCs w:val="25"/>
        </w:rPr>
        <w:t>администраци</w:t>
      </w:r>
      <w:r>
        <w:rPr>
          <w:sz w:val="25"/>
          <w:szCs w:val="25"/>
        </w:rPr>
        <w:t>ю</w:t>
      </w:r>
      <w:r w:rsidRPr="00273302" w:rsidR="00AB6DBC">
        <w:rPr>
          <w:sz w:val="25"/>
          <w:szCs w:val="25"/>
        </w:rPr>
        <w:t xml:space="preserve"> </w:t>
      </w:r>
      <w:r w:rsidRPr="00273302" w:rsidR="00AF2326">
        <w:rPr>
          <w:sz w:val="25"/>
          <w:szCs w:val="25"/>
        </w:rPr>
        <w:t>признать виновн</w:t>
      </w:r>
      <w:r w:rsidRPr="00273302" w:rsidR="00AB6DBC">
        <w:rPr>
          <w:sz w:val="25"/>
          <w:szCs w:val="25"/>
        </w:rPr>
        <w:t xml:space="preserve">ым </w:t>
      </w:r>
      <w:r w:rsidRPr="00273302" w:rsidR="00AF2326">
        <w:rPr>
          <w:sz w:val="25"/>
          <w:szCs w:val="25"/>
        </w:rPr>
        <w:t xml:space="preserve">в совершении административного правонарушения, </w:t>
      </w:r>
      <w:r w:rsidRPr="001C7CCA">
        <w:rPr>
          <w:sz w:val="25"/>
          <w:szCs w:val="25"/>
        </w:rPr>
        <w:t xml:space="preserve">предусмотренного ст. 19.7 </w:t>
      </w:r>
      <w:r w:rsidRPr="005728F1">
        <w:rPr>
          <w:sz w:val="25"/>
          <w:szCs w:val="25"/>
        </w:rPr>
        <w:t>Кодекса Российской Федерации об административных правонарушениях</w:t>
      </w:r>
      <w:r w:rsidRPr="001C7CCA">
        <w:rPr>
          <w:sz w:val="25"/>
          <w:szCs w:val="25"/>
        </w:rPr>
        <w:t>, и подвергнуть административному наказанию в виде предупреж</w:t>
      </w:r>
      <w:r w:rsidRPr="001C7CCA">
        <w:rPr>
          <w:sz w:val="25"/>
          <w:szCs w:val="25"/>
        </w:rPr>
        <w:t>дения.</w:t>
      </w:r>
    </w:p>
    <w:p w:rsidR="00AF2326" w:rsidRPr="00B11442" w:rsidP="00B11442">
      <w:pPr>
        <w:pStyle w:val="1"/>
        <w:ind w:left="-142" w:firstLine="720"/>
        <w:jc w:val="both"/>
        <w:rPr>
          <w:sz w:val="25"/>
          <w:szCs w:val="25"/>
        </w:rPr>
      </w:pPr>
      <w:r w:rsidRPr="00B11442">
        <w:rPr>
          <w:sz w:val="25"/>
          <w:szCs w:val="25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5728F1">
        <w:rPr>
          <w:sz w:val="25"/>
          <w:szCs w:val="25"/>
        </w:rPr>
        <w:t>дней</w:t>
      </w:r>
      <w:r w:rsidRPr="00B11442">
        <w:rPr>
          <w:sz w:val="25"/>
          <w:szCs w:val="25"/>
        </w:rPr>
        <w:t xml:space="preserve"> со дня вручения или получения копии постановления.</w:t>
      </w:r>
    </w:p>
    <w:p w:rsidR="00963CB3" w:rsidRPr="004B7C1E" w:rsidP="0019548E">
      <w:pPr>
        <w:pStyle w:val="1"/>
        <w:ind w:left="-142" w:firstLine="720"/>
        <w:jc w:val="both"/>
        <w:rPr>
          <w:color w:val="000000" w:themeColor="text1"/>
          <w:sz w:val="25"/>
          <w:szCs w:val="25"/>
          <w:lang w:eastAsia="ru-RU"/>
        </w:rPr>
      </w:pPr>
      <w:r w:rsidRPr="00273302">
        <w:rPr>
          <w:sz w:val="25"/>
          <w:szCs w:val="25"/>
        </w:rPr>
        <w:t xml:space="preserve">           </w:t>
      </w:r>
      <w:r w:rsidRPr="004B7C1E">
        <w:rPr>
          <w:color w:val="000000" w:themeColor="text1"/>
          <w:sz w:val="25"/>
          <w:szCs w:val="25"/>
          <w:lang w:eastAsia="ru-RU"/>
        </w:rPr>
        <w:t xml:space="preserve">          </w:t>
      </w:r>
    </w:p>
    <w:p w:rsidR="00963CB3" w:rsidRPr="005728F1" w:rsidP="001C7CCA">
      <w:pPr>
        <w:ind w:left="-142" w:right="-1"/>
        <w:jc w:val="both"/>
        <w:rPr>
          <w:rFonts w:ascii="Times New Roman" w:eastAsia="MS Mincho" w:hAnsi="Times New Roman"/>
          <w:color w:val="FF0000"/>
          <w:sz w:val="25"/>
          <w:szCs w:val="25"/>
          <w:lang w:val="ru-RU"/>
        </w:rPr>
      </w:pPr>
      <w:r w:rsidRPr="004B7C1E">
        <w:rPr>
          <w:rFonts w:ascii="Times New Roman" w:hAnsi="Times New Roman"/>
          <w:color w:val="000000" w:themeColor="text1"/>
          <w:sz w:val="25"/>
          <w:szCs w:val="25"/>
          <w:lang w:val="ru-RU"/>
        </w:rPr>
        <w:t xml:space="preserve">            Мировой судья</w:t>
      </w:r>
      <w:r w:rsidRPr="005728F1">
        <w:rPr>
          <w:rFonts w:ascii="Times New Roman" w:hAnsi="Times New Roman"/>
          <w:color w:val="FF0000"/>
          <w:sz w:val="25"/>
          <w:szCs w:val="25"/>
          <w:lang w:val="ru-RU"/>
        </w:rPr>
        <w:t xml:space="preserve">:                             </w:t>
      </w:r>
      <w:r w:rsidRPr="00FB303E" w:rsidR="00524E19">
        <w:rPr>
          <w:rFonts w:ascii="Times New Roman" w:hAnsi="Times New Roman"/>
          <w:color w:val="FFFFFF" w:themeColor="background1"/>
          <w:sz w:val="25"/>
          <w:szCs w:val="25"/>
          <w:lang w:val="ru-RU"/>
        </w:rPr>
        <w:t>п/п</w:t>
      </w:r>
      <w:r w:rsidRPr="005728F1">
        <w:rPr>
          <w:rFonts w:ascii="Times New Roman" w:hAnsi="Times New Roman"/>
          <w:color w:val="FF0000"/>
          <w:sz w:val="25"/>
          <w:szCs w:val="25"/>
          <w:lang w:val="ru-RU"/>
        </w:rPr>
        <w:t xml:space="preserve">                                  К.С.</w:t>
      </w:r>
      <w:r w:rsidRPr="005728F1" w:rsidR="00DB7710">
        <w:rPr>
          <w:rFonts w:ascii="Times New Roman" w:hAnsi="Times New Roman"/>
          <w:color w:val="FF0000"/>
          <w:sz w:val="25"/>
          <w:szCs w:val="25"/>
          <w:lang w:val="ru-RU"/>
        </w:rPr>
        <w:t xml:space="preserve"> </w:t>
      </w:r>
      <w:r w:rsidRPr="005728F1">
        <w:rPr>
          <w:rFonts w:ascii="Times New Roman" w:hAnsi="Times New Roman"/>
          <w:color w:val="FF0000"/>
          <w:sz w:val="25"/>
          <w:szCs w:val="25"/>
          <w:lang w:val="ru-RU"/>
        </w:rPr>
        <w:t xml:space="preserve">Шевчук </w:t>
      </w:r>
    </w:p>
    <w:tbl>
      <w:tblPr>
        <w:tblStyle w:val="TableGrid"/>
        <w:tblW w:w="0" w:type="auto"/>
        <w:jc w:val="center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8"/>
        <w:gridCol w:w="4053"/>
      </w:tblGrid>
      <w:tr w:rsidTr="004B7C1E">
        <w:tblPrEx>
          <w:tblW w:w="0" w:type="auto"/>
          <w:jc w:val="center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558" w:type="dxa"/>
          </w:tcPr>
          <w:p w:rsidR="005728F1" w:rsidRPr="00FB303E" w:rsidP="00524E19">
            <w:pPr>
              <w:tabs>
                <w:tab w:val="left" w:pos="2411"/>
              </w:tabs>
              <w:ind w:left="-142" w:right="2323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 </w:t>
            </w:r>
            <w:r w:rsidRPr="00FB303E" w:rsidR="00524E19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Копия верна</w:t>
            </w: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</w:t>
            </w:r>
          </w:p>
          <w:p w:rsidR="00524E19" w:rsidRPr="00FB303E" w:rsidP="00524E19">
            <w:pPr>
              <w:tabs>
                <w:tab w:val="left" w:pos="2411"/>
              </w:tabs>
              <w:ind w:left="-142" w:right="2323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 </w:t>
            </w:r>
            <w:r w:rsidRPr="00FB303E" w:rsidR="005A1125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«</w:t>
            </w:r>
            <w:r w:rsidRPr="00FB303E" w:rsidR="001C7CCA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FB303E" w:rsidR="005728F1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5</w:t>
            </w:r>
            <w:r w:rsidRPr="00FB303E" w:rsidR="005A1125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» </w:t>
            </w:r>
            <w:r w:rsidRPr="00FB303E" w:rsidR="005728F1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сентября</w:t>
            </w: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202</w:t>
            </w:r>
            <w:r w:rsidRPr="00FB303E" w:rsidR="005728F1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5</w:t>
            </w: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г.                             ________ К.С. Шевчук</w:t>
            </w:r>
          </w:p>
          <w:p w:rsidR="00524E19" w:rsidRPr="00FB303E" w:rsidP="00524E19">
            <w:pPr>
              <w:tabs>
                <w:tab w:val="left" w:pos="2411"/>
              </w:tabs>
              <w:ind w:left="-142" w:right="2323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  <w:p w:rsidR="00524E19" w:rsidRPr="00FB303E" w:rsidP="00524E19">
            <w:pPr>
              <w:tabs>
                <w:tab w:val="left" w:pos="3545"/>
              </w:tabs>
              <w:ind w:left="-142" w:right="1189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Секретарь с/з________</w:t>
            </w:r>
            <w:r w:rsidRPr="00FB303E" w:rsidR="005728F1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Шимф В.С.</w:t>
            </w:r>
          </w:p>
          <w:p w:rsidR="00524E19" w:rsidRPr="00FB303E" w:rsidP="00524E19">
            <w:pPr>
              <w:ind w:left="-142" w:right="-1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  <w:p w:rsidR="00524E19" w:rsidRPr="00FB303E" w:rsidP="00524E19">
            <w:pPr>
              <w:ind w:left="-142" w:right="-1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053" w:type="dxa"/>
          </w:tcPr>
          <w:p w:rsidR="00524E19" w:rsidRPr="00FB303E" w:rsidP="00524E19">
            <w:pPr>
              <w:ind w:left="154" w:right="-1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Постанов</w:t>
            </w:r>
            <w:r w:rsidRPr="00FB303E" w:rsidR="001C7CCA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ление не вступило в законную силу  </w:t>
            </w:r>
            <w:r w:rsidRPr="00FB303E" w:rsidR="005728F1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«25» сентября 2025 г. </w:t>
            </w: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_________К.С.Шевчук</w:t>
            </w:r>
          </w:p>
          <w:p w:rsidR="00524E19" w:rsidRPr="00FB303E" w:rsidP="00524E19">
            <w:pPr>
              <w:ind w:left="154" w:right="-1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  <w:p w:rsidR="005728F1" w:rsidRPr="00FB303E" w:rsidP="005728F1">
            <w:pPr>
              <w:tabs>
                <w:tab w:val="left" w:pos="3545"/>
              </w:tabs>
              <w:ind w:left="-142" w:right="227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     Секретарь</w:t>
            </w:r>
            <w:r w:rsidRPr="00FB303E" w:rsidR="00524E19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с/з ______</w:t>
            </w:r>
            <w:r w:rsidRPr="00FB303E" w:rsidR="001C7CCA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 xml:space="preserve"> </w:t>
            </w:r>
            <w:r w:rsidRPr="00FB303E"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  <w:t>Шимф В..С.</w:t>
            </w:r>
          </w:p>
          <w:p w:rsidR="00524E19" w:rsidRPr="00FB303E" w:rsidP="004B7C1E">
            <w:pPr>
              <w:ind w:left="154" w:right="-1"/>
              <w:rPr>
                <w:rFonts w:ascii="Times New Roman" w:eastAsia="MS Mincho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</w:tc>
      </w:tr>
    </w:tbl>
    <w:p w:rsidR="00963CB3" w:rsidRPr="004B7C1E" w:rsidP="000425E9">
      <w:pPr>
        <w:ind w:left="-142" w:right="-1"/>
        <w:jc w:val="both"/>
        <w:rPr>
          <w:rFonts w:ascii="Times New Roman" w:eastAsia="MS Mincho" w:hAnsi="Times New Roman"/>
          <w:color w:val="000000" w:themeColor="text1"/>
          <w:sz w:val="25"/>
          <w:szCs w:val="25"/>
          <w:lang w:val="ru-RU"/>
        </w:rPr>
      </w:pPr>
    </w:p>
    <w:p w:rsidR="00963CB3" w:rsidRPr="004B7C1E" w:rsidP="000425E9">
      <w:pPr>
        <w:ind w:left="-142" w:right="-1"/>
        <w:jc w:val="both"/>
        <w:rPr>
          <w:rFonts w:ascii="Times New Roman" w:eastAsia="MS Mincho" w:hAnsi="Times New Roman"/>
          <w:color w:val="000000" w:themeColor="text1"/>
          <w:sz w:val="25"/>
          <w:szCs w:val="25"/>
          <w:lang w:val="ru-RU"/>
        </w:rPr>
      </w:pPr>
    </w:p>
    <w:p w:rsidR="00816A7E" w:rsidRPr="004B7C1E" w:rsidP="000425E9">
      <w:pPr>
        <w:ind w:left="-142"/>
        <w:rPr>
          <w:color w:val="000000" w:themeColor="text1"/>
          <w:sz w:val="25"/>
          <w:szCs w:val="25"/>
          <w:lang w:val="ru-RU"/>
        </w:rPr>
      </w:pPr>
    </w:p>
    <w:sectPr w:rsidSect="00BA6A10">
      <w:pgSz w:w="11906" w:h="16838"/>
      <w:pgMar w:top="426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D5"/>
    <w:rsid w:val="000425E9"/>
    <w:rsid w:val="0006318A"/>
    <w:rsid w:val="000B29CC"/>
    <w:rsid w:val="001367F6"/>
    <w:rsid w:val="00150452"/>
    <w:rsid w:val="0015373B"/>
    <w:rsid w:val="00185BA6"/>
    <w:rsid w:val="0019548E"/>
    <w:rsid w:val="001A5A75"/>
    <w:rsid w:val="001C3774"/>
    <w:rsid w:val="001C7CCA"/>
    <w:rsid w:val="001F3530"/>
    <w:rsid w:val="00227471"/>
    <w:rsid w:val="00273302"/>
    <w:rsid w:val="002B3509"/>
    <w:rsid w:val="002D7421"/>
    <w:rsid w:val="00381A71"/>
    <w:rsid w:val="00381B08"/>
    <w:rsid w:val="003C2C0D"/>
    <w:rsid w:val="003F1B73"/>
    <w:rsid w:val="00436FB7"/>
    <w:rsid w:val="00437B5F"/>
    <w:rsid w:val="00444BEC"/>
    <w:rsid w:val="0047089C"/>
    <w:rsid w:val="004B7C1E"/>
    <w:rsid w:val="004E32B5"/>
    <w:rsid w:val="005067CB"/>
    <w:rsid w:val="00524E19"/>
    <w:rsid w:val="005512DE"/>
    <w:rsid w:val="00554577"/>
    <w:rsid w:val="005728F1"/>
    <w:rsid w:val="005A1125"/>
    <w:rsid w:val="005B6AB2"/>
    <w:rsid w:val="005D51C2"/>
    <w:rsid w:val="005F1DD2"/>
    <w:rsid w:val="007C34B5"/>
    <w:rsid w:val="00816A7E"/>
    <w:rsid w:val="008F4210"/>
    <w:rsid w:val="00963CB3"/>
    <w:rsid w:val="00982374"/>
    <w:rsid w:val="00A51976"/>
    <w:rsid w:val="00A80251"/>
    <w:rsid w:val="00AB1570"/>
    <w:rsid w:val="00AB6DBC"/>
    <w:rsid w:val="00AF073F"/>
    <w:rsid w:val="00AF0A43"/>
    <w:rsid w:val="00AF2326"/>
    <w:rsid w:val="00B11442"/>
    <w:rsid w:val="00B20DCE"/>
    <w:rsid w:val="00B25994"/>
    <w:rsid w:val="00B54009"/>
    <w:rsid w:val="00B67DA0"/>
    <w:rsid w:val="00B8404A"/>
    <w:rsid w:val="00BA4F8B"/>
    <w:rsid w:val="00BA6A10"/>
    <w:rsid w:val="00BC2BD8"/>
    <w:rsid w:val="00BF25C7"/>
    <w:rsid w:val="00BF7C15"/>
    <w:rsid w:val="00C221B0"/>
    <w:rsid w:val="00C2723D"/>
    <w:rsid w:val="00CC72D5"/>
    <w:rsid w:val="00D3193F"/>
    <w:rsid w:val="00D51058"/>
    <w:rsid w:val="00D94AFF"/>
    <w:rsid w:val="00D955B8"/>
    <w:rsid w:val="00D9697D"/>
    <w:rsid w:val="00DA5193"/>
    <w:rsid w:val="00DB7710"/>
    <w:rsid w:val="00DC65B2"/>
    <w:rsid w:val="00E1178F"/>
    <w:rsid w:val="00E86ADC"/>
    <w:rsid w:val="00EA05DE"/>
    <w:rsid w:val="00F0430F"/>
    <w:rsid w:val="00F56561"/>
    <w:rsid w:val="00F675CD"/>
    <w:rsid w:val="00F81122"/>
    <w:rsid w:val="00FA00C6"/>
    <w:rsid w:val="00FA36C6"/>
    <w:rsid w:val="00FA3D5C"/>
    <w:rsid w:val="00FB303E"/>
    <w:rsid w:val="00FB7A2D"/>
    <w:rsid w:val="00FE3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CB3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963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">
    <w:name w:val="Основной текст_"/>
    <w:link w:val="1"/>
    <w:rsid w:val="00963CB3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Normal"/>
    <w:link w:val="a"/>
    <w:rsid w:val="00963CB3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8"/>
      <w:szCs w:val="28"/>
      <w:lang w:val="ru-RU"/>
    </w:rPr>
  </w:style>
  <w:style w:type="paragraph" w:customStyle="1" w:styleId="ConsPlusNormal">
    <w:name w:val="ConsPlusNormal"/>
    <w:rsid w:val="00963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2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0"/>
    <w:uiPriority w:val="99"/>
    <w:semiHidden/>
    <w:unhideWhenUsed/>
    <w:rsid w:val="0019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548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