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BC2183" w:rsidP="00082BF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BC2183" w:rsidR="00BC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101</w:t>
      </w:r>
      <w:r w:rsidRPr="00BC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C2183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BC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BC2183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13AF5" w:rsidRPr="00BC2183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BC2183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BC2183" w:rsidP="00082BF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BC2183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марта 20</w:t>
      </w:r>
      <w:r w:rsidRPr="00BC2183" w:rsidR="00B417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BC2183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C218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2183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C218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C2183" w:rsid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218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C2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082BFF" w:rsidP="00082BF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993AB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Сергея Александровича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</w:t>
      </w:r>
      <w:r w:rsidR="00A8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 1 ст. 5.17 КоАП РФ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6A2389" w:rsidP="00082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являясь кандидатом в депутаты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Родниковскому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>десятимандатному избирательному округу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082BFF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граждан Российской Федерации», п. 2 ч. 2 ст. 72, ч. 4 ст. 72 Закона Республики Крым от 05.06.2014 № 17-ЗРК «О выборах депутатов представительных органов муниципальных образований в Республике Крым», в установленный законом  срок, не позднее чем через 30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дней со дня официального опубликования результатов выборов (результаты выборов опубликованы в печатном издании «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года включительно не предоставил</w:t>
      </w:r>
      <w:r w:rsidR="00632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Территориальную избирательную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комиссию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ьского района, на которую возложены полномочия 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окружной избирательной комиссии </w:t>
      </w:r>
      <w:r w:rsidRPr="006A2389"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десятимандатного избирательного округа,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итоговый финансовый отчет о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поступлении и расходовании средств, выделенных на подготовку и проведение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выборов.</w:t>
      </w:r>
    </w:p>
    <w:p w:rsidR="003F21DE" w:rsidRPr="00113085" w:rsidP="003F21D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85">
        <w:rPr>
          <w:rFonts w:ascii="Times New Roman" w:hAnsi="Times New Roman" w:cs="Times New Roman"/>
          <w:sz w:val="28"/>
          <w:szCs w:val="28"/>
        </w:rPr>
        <w:t>Горобец С.А. в судебном заседании вину не признал, ссылаясь на письменные пояснен</w:t>
      </w:r>
      <w:r w:rsidRPr="00113085" w:rsidR="00113085">
        <w:rPr>
          <w:rFonts w:ascii="Times New Roman" w:hAnsi="Times New Roman" w:cs="Times New Roman"/>
          <w:sz w:val="28"/>
          <w:szCs w:val="28"/>
        </w:rPr>
        <w:t xml:space="preserve">ия, имеющиеся в материалах дела, а именно то что новая территорриальная избирательная комиссия не имела права составлять в отношении него протокол об административном правонарушении и привлекать его к административной ответственности. Так же указал на пропуск срока привлечения к административной ответственности. </w:t>
      </w:r>
      <w:r w:rsidRPr="00113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DE" w:rsidRPr="00113085" w:rsidP="003F21D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85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113085" w:rsidR="006322AE">
        <w:rPr>
          <w:rFonts w:ascii="Times New Roman" w:hAnsi="Times New Roman" w:cs="Times New Roman"/>
          <w:sz w:val="28"/>
          <w:szCs w:val="28"/>
        </w:rPr>
        <w:t>Горобец С.А.</w:t>
      </w:r>
      <w:r w:rsidRPr="00113085">
        <w:rPr>
          <w:rFonts w:ascii="Times New Roman" w:hAnsi="Times New Roman" w:cs="Times New Roman"/>
          <w:sz w:val="28"/>
          <w:szCs w:val="28"/>
        </w:rPr>
        <w:t>, изучив материалы дела, оценив представленные доказательства в их сов</w:t>
      </w:r>
      <w:r w:rsidRPr="00113085">
        <w:rPr>
          <w:rFonts w:ascii="Times New Roman" w:hAnsi="Times New Roman" w:cs="Times New Roman"/>
          <w:sz w:val="28"/>
          <w:szCs w:val="28"/>
        </w:rPr>
        <w:t>окупности, суд приходит к следующим выводам.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ствии с п. 2 ч. 2 ст. 72  Закона №17-ЗРК, п. 9 ст. 59 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 чем через 30 дней со дня официально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избирательного фонда.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 (ч. 4 ст. 72  Закона №17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-ЗРК).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судебном заседании установлено, что </w:t>
      </w:r>
      <w:r w:rsidR="00825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845D5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845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обратилс</w:t>
      </w:r>
      <w:r w:rsidR="00845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Симферопольского района  (с полномочиями окружной избирательной комиссии </w:t>
      </w:r>
      <w:r w:rsidR="0004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Симферопольского 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округу.</w:t>
      </w:r>
    </w:p>
    <w:p w:rsidR="004D1C6A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решением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района  (с полномочиями окружной избирательной комиссии </w:t>
      </w:r>
      <w:r w:rsidR="0004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251</w:t>
      </w:r>
      <w:r w:rsidR="00EC2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 w:rsidR="00EC2A43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 ут</w:t>
      </w:r>
      <w:r w:rsidR="00812F5C">
        <w:rPr>
          <w:rFonts w:ascii="Times New Roman" w:hAnsi="Times New Roman" w:cs="Times New Roman"/>
          <w:color w:val="000000" w:themeColor="text1"/>
          <w:sz w:val="28"/>
          <w:szCs w:val="28"/>
        </w:rPr>
        <w:t>ративш</w:t>
      </w:r>
      <w:r w:rsidR="00EC2A4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12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кандидата в депутаты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совета Симферопольского района Республики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Крым 14 сентября 2019 года официально опубликованы в газете «Сельский труженик Крыма» №35(10017).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ч. 1 ст. 58 Федерального закона от 12.06.2002 № 67-ФЗ «Об основных гарантиях избирательных прав и права на участие в референдуме граждан Российской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Федерации» кандидаты обязаны создавать собственные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для их регистрации этой избирательной комиссией.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вание кандидатом своей избирательной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кандидатов, для финансирования своей избират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кандидатов по одномандатным (многомандатным)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избирательным округам, избирательный фонд не создает.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 справки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от 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.02.2020 г. №01-09/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7B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46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день выборов депутатов муниципальных образований Симферопольского района Республики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 (08 сентября 2020 года) количество избирателей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Симферопольского района Республики Крым составляет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4353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Закона Республики Крым от 05.06.2014 № 17-ЗРК «О выборах депутатов представительных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 муниципальных образований в Республике Крым»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дат утратил свой статус, обязанность представления финансового отчета возлагается на гражданина, являвшегося кандидатом.</w:t>
      </w:r>
    </w:p>
    <w:p w:rsidR="009C263C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проведения вышеназванной избирательной кампании по  выборам депутатов  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69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назначил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уполномоченного пред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ставителя по финансовым вопросам. Следовательно, обязанность представления финансового отчета возлагается на </w:t>
      </w:r>
      <w:r w:rsidR="00E1469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E1469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 избирательную комиссию Симферопольского района  (с полномочиями окружной избирательной комиссии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 с чем, на не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референдуме граждан Российской Федерации», п. 2 ч. 2, ч. 4  ст. 72  Закона №17-ЗРК по предоставле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 в установленный законом срок итогового финансового отчета.</w:t>
      </w:r>
    </w:p>
    <w:p w:rsidR="00D658A5" w:rsidRPr="006A2389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E14694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E146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6A2389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082BFF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152D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317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Избирательной комиссии Республики Крым от 16.06.2014 г. №4/61-1 (л.д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18.06.2019 г. №5/101-2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№47/363-2 (л.д. 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02.1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2.2019 г. №47/364-2  (л.д. 1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19.06.2019 г. №136/1918-1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Крым от 22.06.2019 г. №137/1961-1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F56E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№174/292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(л.д. 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№134/1870-1 (л.д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Симферопольского района Республики Крым от 08.05.2019 г. №134/1870-1 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</w:t>
      </w:r>
      <w:r w:rsidR="00F56E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 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заявлением </w:t>
      </w:r>
      <w:r w:rsidR="00F56E67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F56E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C754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получения документов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печатным изданием «Сельский труженик Крыма» №35 (л.д. 3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5438C" w:rsidRPr="00082BFF" w:rsidP="0045438C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.02.2020 г. №01-09/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C754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привлекаемого к административной ответственности, о том, что протокол об административном правонарушении составлен с нарушением сроков, указанных в ст. 28.5 КоАП РФ не принимаются судом во внимание исходя из с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ледующего.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указано, что несущественными являются такие недостатки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протокола, которые могут быть восполнены при рассмотрении дела по существу, а также нарушение установленных ст. 28.5 и 28.8 КоАП РФ сроков составления или направления протокола, поскольку эти сроки не являются пресекательными.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административного расследования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возбуждении дела об административном правонарушении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должностным лицом в адрес привлекаемого к административной ответственности лица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нован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нормах КоАП РФ.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некоторых вопросах, возникающих у судов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применении Кодекса Российской Федерации об административных правонарушениях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ативное расследование представляет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 их фиксирование, юридическую квалификацию 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процессуальное оформление.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 в другой местности. Установив, что административное расследование фактически не проводилось, судье районного суда 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иссле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довании материалов дела об административном правонарушении, судом не установлены обстоятельства о необходимости, в соответствии со ст. 28.7 КоАП РФ, принятия должностным лицом решения проведении административного расследования.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в отношении кот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орого ведется производство по делу об административном правонарушении о том, что административный протокол в отношении него составлен неправомочным лицом, не соответствуют действительности.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КоАП РФ протоколы об административных правон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пределах компетенции соответствующего органа</w:t>
      </w:r>
      <w:r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гласно п. 1 ч. 5 ст. 28.3 КоАП  протоколы об административных правонарушениях вправе составлять: члены избирательных комиссий, комиссий референдума с правом решающего голоса, уполномоченные избирательными комиссиями, комиссиями референдума, - об администра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тивных правонарушениях, предусмотренных статьями 5.3 - 5.5, 5.8 - 5.10, 5.12, 5.15, 5.17 - 5.20, 5.47, 5.50, 5.51, 5.56, 5.64 - 5.68 настоящего Кодекса.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соответствии с п.1 ч.5. ст. 28.3 КоАП РФ, председателем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Республики Крым от 02 декабря 2019 года №1/6-2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протоколы об административных правонарушениях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0D2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D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составлен в отношении </w:t>
      </w:r>
      <w:r w:rsidR="003F0302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 по ч. 1 ст. 5.17 КоАП РФ.</w:t>
      </w:r>
    </w:p>
    <w:p w:rsidR="00537EF8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указанные доводы, не нашли своего подтверждения в материалах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дела об административном правонарушении, противоречат совокупности собранных по делу доказательств и не ставят под сомнение наличие в действиях </w:t>
      </w:r>
      <w:r w:rsidR="003F0302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3F0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объективной стороны состава административного правонарушения, предусмотренного ч. 1 ст.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5.17 КоАП РФ.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0302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3F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при составле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нии протокола об административном правонарушении нарушены не были.</w:t>
      </w:r>
    </w:p>
    <w:p w:rsidR="009C2630" w:rsidRPr="008D40D2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D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отягчающие административную ответственность.</w:t>
      </w:r>
    </w:p>
    <w:p w:rsidR="00DE23F6" w:rsidRPr="008D40D2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Обстоятельством смягчающим вину</w:t>
      </w:r>
      <w:r w:rsidRPr="008D40D2"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признает признание вины.</w:t>
      </w:r>
    </w:p>
    <w:p w:rsidR="006A2389" w:rsidRPr="008D40D2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0D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E23F6" w:rsidRPr="008D40D2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0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40D2">
        <w:rPr>
          <w:rFonts w:ascii="Times New Roman" w:hAnsi="Times New Roman" w:cs="Times New Roman"/>
          <w:color w:val="000000" w:themeColor="text1"/>
          <w:sz w:val="28"/>
          <w:szCs w:val="28"/>
        </w:rPr>
        <w:t>сключительных обстоятельств, связанных с характером</w:t>
      </w:r>
      <w:r w:rsidRPr="008D4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</w:t>
      </w:r>
      <w:r w:rsidRPr="008D4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не предоставлено.</w:t>
      </w:r>
    </w:p>
    <w:p w:rsidR="009C2630" w:rsidRPr="00082BFF" w:rsidP="00082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40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</w:t>
      </w:r>
      <w:r w:rsidRPr="008D40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D40D2" w:rsidR="00024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С.А.</w:t>
      </w:r>
      <w:r w:rsidR="00311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 предусмотренном санкцией данной части статьи размере.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</w:t>
      </w:r>
      <w:r w:rsidRPr="00082BFF" w:rsidR="00024FD4">
        <w:rPr>
          <w:rFonts w:ascii="Times New Roman" w:hAnsi="Times New Roman" w:cs="Times New Roman"/>
          <w:sz w:val="28"/>
          <w:szCs w:val="28"/>
        </w:rPr>
        <w:t>17</w:t>
      </w:r>
      <w:r w:rsidRPr="00082BFF">
        <w:rPr>
          <w:rFonts w:ascii="Times New Roman" w:hAnsi="Times New Roman" w:cs="Times New Roman"/>
          <w:sz w:val="28"/>
          <w:szCs w:val="28"/>
        </w:rPr>
        <w:t>, ст.ст. 29.9, 29.10, 29.11  Кодекса Российской Федерации об административных правонарушениях, мировой судья,-</w:t>
      </w:r>
    </w:p>
    <w:p w:rsidR="009C2630" w:rsidRPr="00082BFF" w:rsidP="00082BF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Pr="00311FFE"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Горобец Сергея Александровича, </w:t>
      </w:r>
      <w:r w:rsidR="008D40D2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</w:t>
      </w:r>
      <w:r w:rsidR="00311FFE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</w:t>
      </w:r>
      <w:r w:rsidR="00311FFE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D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 виде штрафа в размере 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20000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тысяч) рублей.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1FFE"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Серге</w:t>
      </w:r>
      <w:r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11FFE"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35362" w:rsidR="00311F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следующие реквизиты: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270E35" w:rsidR="00270E3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КБК 82811601053019000140,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УИН 0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Pr="00311FFE" w:rsidR="00311FFE">
        <w:rPr>
          <w:rFonts w:ascii="Times New Roman" w:hAnsi="Times New Roman" w:cs="Times New Roman"/>
          <w:color w:val="000000" w:themeColor="text1"/>
          <w:sz w:val="28"/>
          <w:szCs w:val="28"/>
        </w:rPr>
        <w:t>Горобец Сергея Александровича</w:t>
      </w:r>
      <w:r w:rsidRPr="00E35362" w:rsidR="00311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административной ответственности по ч.1 ст.20.25 КоАП РФ в случае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несвоевременной уплаты штрафа.</w:t>
      </w:r>
    </w:p>
    <w:p w:rsidR="00E35362" w:rsidRPr="00E35362" w:rsidP="00082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пятидневный срок со дня</w:t>
      </w: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вручения или получения копии постановления.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RPr="00200030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                                                               </w:t>
      </w:r>
      <w:r w:rsidRPr="00082BFF" w:rsidR="00D6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И.Ю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 Бора</w:t>
      </w: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317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D2">
          <w:rPr>
            <w:noProof/>
          </w:rPr>
          <w:t>7</w:t>
        </w:r>
        <w:r>
          <w:fldChar w:fldCharType="end"/>
        </w:r>
      </w:p>
    </w:sdtContent>
  </w:sdt>
  <w:p w:rsidR="00D3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36616"/>
    <w:rsid w:val="00045E91"/>
    <w:rsid w:val="00065975"/>
    <w:rsid w:val="000804B6"/>
    <w:rsid w:val="00082BFF"/>
    <w:rsid w:val="00090143"/>
    <w:rsid w:val="000B027F"/>
    <w:rsid w:val="000F0DDC"/>
    <w:rsid w:val="000F5194"/>
    <w:rsid w:val="0010526E"/>
    <w:rsid w:val="00113085"/>
    <w:rsid w:val="0012010A"/>
    <w:rsid w:val="00131C27"/>
    <w:rsid w:val="001351CF"/>
    <w:rsid w:val="001440EE"/>
    <w:rsid w:val="00146BC5"/>
    <w:rsid w:val="00152D31"/>
    <w:rsid w:val="00153D65"/>
    <w:rsid w:val="00162700"/>
    <w:rsid w:val="001651C1"/>
    <w:rsid w:val="001A110D"/>
    <w:rsid w:val="001C5763"/>
    <w:rsid w:val="001D241D"/>
    <w:rsid w:val="00200030"/>
    <w:rsid w:val="00205ECF"/>
    <w:rsid w:val="00215B9B"/>
    <w:rsid w:val="00230488"/>
    <w:rsid w:val="00270E35"/>
    <w:rsid w:val="00273E33"/>
    <w:rsid w:val="00274482"/>
    <w:rsid w:val="002A2EF9"/>
    <w:rsid w:val="002F32DD"/>
    <w:rsid w:val="00303B07"/>
    <w:rsid w:val="00304FB5"/>
    <w:rsid w:val="00311FFE"/>
    <w:rsid w:val="00312EEE"/>
    <w:rsid w:val="00320FEF"/>
    <w:rsid w:val="003253A7"/>
    <w:rsid w:val="003925E7"/>
    <w:rsid w:val="003B7ACC"/>
    <w:rsid w:val="003C75DE"/>
    <w:rsid w:val="003D3A66"/>
    <w:rsid w:val="003E0042"/>
    <w:rsid w:val="003E3DED"/>
    <w:rsid w:val="003F0302"/>
    <w:rsid w:val="003F1EBA"/>
    <w:rsid w:val="003F21DE"/>
    <w:rsid w:val="00411393"/>
    <w:rsid w:val="00422F4D"/>
    <w:rsid w:val="004531DE"/>
    <w:rsid w:val="00453DB1"/>
    <w:rsid w:val="0045438C"/>
    <w:rsid w:val="004B01A7"/>
    <w:rsid w:val="004C22A9"/>
    <w:rsid w:val="004D01D8"/>
    <w:rsid w:val="004D1C6A"/>
    <w:rsid w:val="004D20DA"/>
    <w:rsid w:val="004D56D1"/>
    <w:rsid w:val="004E26DD"/>
    <w:rsid w:val="004E44D5"/>
    <w:rsid w:val="00507448"/>
    <w:rsid w:val="00536A3D"/>
    <w:rsid w:val="00537EF8"/>
    <w:rsid w:val="00543991"/>
    <w:rsid w:val="00546F14"/>
    <w:rsid w:val="00550942"/>
    <w:rsid w:val="00576DF2"/>
    <w:rsid w:val="00586A5E"/>
    <w:rsid w:val="005B0617"/>
    <w:rsid w:val="005B1677"/>
    <w:rsid w:val="005E5B56"/>
    <w:rsid w:val="005E7FD7"/>
    <w:rsid w:val="006322AE"/>
    <w:rsid w:val="006504F0"/>
    <w:rsid w:val="006759F5"/>
    <w:rsid w:val="00683B25"/>
    <w:rsid w:val="006A2389"/>
    <w:rsid w:val="006A28F4"/>
    <w:rsid w:val="006C34CF"/>
    <w:rsid w:val="006C5484"/>
    <w:rsid w:val="006E7929"/>
    <w:rsid w:val="006F5CF4"/>
    <w:rsid w:val="007058DA"/>
    <w:rsid w:val="007461A6"/>
    <w:rsid w:val="00754A36"/>
    <w:rsid w:val="00766013"/>
    <w:rsid w:val="0077151C"/>
    <w:rsid w:val="00791627"/>
    <w:rsid w:val="00794BF1"/>
    <w:rsid w:val="007A6BDA"/>
    <w:rsid w:val="007B15A6"/>
    <w:rsid w:val="007E2F23"/>
    <w:rsid w:val="007F1273"/>
    <w:rsid w:val="007F5B87"/>
    <w:rsid w:val="00812F5C"/>
    <w:rsid w:val="00813AF5"/>
    <w:rsid w:val="008259E3"/>
    <w:rsid w:val="00834BB5"/>
    <w:rsid w:val="008373EC"/>
    <w:rsid w:val="00844C37"/>
    <w:rsid w:val="00845D54"/>
    <w:rsid w:val="00882436"/>
    <w:rsid w:val="00891C0B"/>
    <w:rsid w:val="008945A1"/>
    <w:rsid w:val="00896FF1"/>
    <w:rsid w:val="008D40D2"/>
    <w:rsid w:val="00920034"/>
    <w:rsid w:val="009638C3"/>
    <w:rsid w:val="009652E6"/>
    <w:rsid w:val="00990EBD"/>
    <w:rsid w:val="00993AB4"/>
    <w:rsid w:val="009B0BA6"/>
    <w:rsid w:val="009C2630"/>
    <w:rsid w:val="009C263C"/>
    <w:rsid w:val="009E386E"/>
    <w:rsid w:val="009E58EF"/>
    <w:rsid w:val="009F2769"/>
    <w:rsid w:val="00A17211"/>
    <w:rsid w:val="00A21B20"/>
    <w:rsid w:val="00A40DD8"/>
    <w:rsid w:val="00A47B94"/>
    <w:rsid w:val="00A533D8"/>
    <w:rsid w:val="00A62F10"/>
    <w:rsid w:val="00A83283"/>
    <w:rsid w:val="00A84814"/>
    <w:rsid w:val="00A97B26"/>
    <w:rsid w:val="00AC517A"/>
    <w:rsid w:val="00AE517B"/>
    <w:rsid w:val="00AF2B9C"/>
    <w:rsid w:val="00B31195"/>
    <w:rsid w:val="00B36E12"/>
    <w:rsid w:val="00B41768"/>
    <w:rsid w:val="00B4755C"/>
    <w:rsid w:val="00B90F55"/>
    <w:rsid w:val="00BB7F2C"/>
    <w:rsid w:val="00BC2183"/>
    <w:rsid w:val="00BD2899"/>
    <w:rsid w:val="00C34B43"/>
    <w:rsid w:val="00C67286"/>
    <w:rsid w:val="00C700D5"/>
    <w:rsid w:val="00C732E0"/>
    <w:rsid w:val="00C75460"/>
    <w:rsid w:val="00C93C15"/>
    <w:rsid w:val="00C94C20"/>
    <w:rsid w:val="00CA7F7E"/>
    <w:rsid w:val="00CB2492"/>
    <w:rsid w:val="00CD5EBC"/>
    <w:rsid w:val="00CE208F"/>
    <w:rsid w:val="00D0341F"/>
    <w:rsid w:val="00D317C5"/>
    <w:rsid w:val="00D50F6D"/>
    <w:rsid w:val="00D52F40"/>
    <w:rsid w:val="00D55538"/>
    <w:rsid w:val="00D658A5"/>
    <w:rsid w:val="00D8578F"/>
    <w:rsid w:val="00D90DCF"/>
    <w:rsid w:val="00D96628"/>
    <w:rsid w:val="00DB2F7F"/>
    <w:rsid w:val="00DB36BD"/>
    <w:rsid w:val="00DD2616"/>
    <w:rsid w:val="00DD74D2"/>
    <w:rsid w:val="00DD7B64"/>
    <w:rsid w:val="00DE23F6"/>
    <w:rsid w:val="00DF69DC"/>
    <w:rsid w:val="00E01E77"/>
    <w:rsid w:val="00E11752"/>
    <w:rsid w:val="00E1257A"/>
    <w:rsid w:val="00E14694"/>
    <w:rsid w:val="00E14A39"/>
    <w:rsid w:val="00E17188"/>
    <w:rsid w:val="00E35362"/>
    <w:rsid w:val="00E361B2"/>
    <w:rsid w:val="00E60465"/>
    <w:rsid w:val="00E612A1"/>
    <w:rsid w:val="00E9224F"/>
    <w:rsid w:val="00E92F49"/>
    <w:rsid w:val="00EC2A43"/>
    <w:rsid w:val="00ED63BF"/>
    <w:rsid w:val="00EF62A3"/>
    <w:rsid w:val="00F02312"/>
    <w:rsid w:val="00F14C9C"/>
    <w:rsid w:val="00F33A3C"/>
    <w:rsid w:val="00F46497"/>
    <w:rsid w:val="00F5425C"/>
    <w:rsid w:val="00F56E67"/>
    <w:rsid w:val="00F579AE"/>
    <w:rsid w:val="00F66D28"/>
    <w:rsid w:val="00F71DA2"/>
    <w:rsid w:val="00FA6C47"/>
    <w:rsid w:val="00FB35C7"/>
    <w:rsid w:val="00FE0BB0"/>
    <w:rsid w:val="00FF4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