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№5-84-16/2024</w:t>
      </w:r>
    </w:p>
    <w:p w:rsidR="00A77B3E">
      <w:r>
        <w:t>УИД 91MS0084-01-2024-000044-38</w:t>
      </w:r>
    </w:p>
    <w:p w:rsidR="00A77B3E"/>
    <w:p w:rsidR="00A77B3E">
      <w:r>
        <w:t>П о с т а н о в л е н и е</w:t>
      </w:r>
    </w:p>
    <w:p w:rsidR="00A77B3E"/>
    <w:p w:rsidR="00A77B3E">
      <w:r>
        <w:t>06 февраля 2024 года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Заветненского сельского совета – главы администрации Заветненского сельского поселения Советского района Республики Крым Фисенко Ольги Александровны, паспортные данные, гражданки РФ, паспортные данные, зарегистрированной и проживающей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председателем Заветненского сельского совета – главой администрации Заветненского адрес, расположенной по адресу: адрес, допустила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предоставлены с нарушением срока, совершив административное правонарушение, предусмотренное ч. 1 ст. 15.33.2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о чем свидетельствует почтовое уведомление о вручении.</w:t>
      </w:r>
    </w:p>
    <w:p w:rsidR="00A77B3E">
      <w:r>
        <w:t>Так, учитывая, что фио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№173 об административном правонарушении от дата (л.д.2); сведениями об уполномоченном представителе страхователя (л.д.6); копией формы ЕФС-1 (об.ст.л.д.6-л.д.7); сведениями об обращении телефон-телефон от дата (об.ст.л.д.7);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(л.д.8); выпиской из ЕГРН (об.ст.л.д.8-л.д.9).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председателем Заветненского сельского совета – главой администрации Заветненского адрес фио не выполнено: допущено нарушение порядка представления сведений по форме ЕФС-1 подраздел 1.1 (данные о дате заключения / дате прекращения и иные реквизиты договора ГПХ) на з/л фио, фио срок предоставления - до дата включительно.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 признает совершение впервые административного правонарушения.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 xml:space="preserve">Из материалов дела следует, что председатель Заветненского сельского совета – глава администрации Заветненского адрес фио на момент совершения правонарушения по настоящему делу не является лицом, привлеченным к административной ответственности. 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председателя Заветненского сельского совета – главу администрации Заветненского сельского поселения Советского района Республики Крым Фиенко Ольгу Александровну признать виновной в совершении административного правонарушения, предусмотренного ч.1 ст.15.33.2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