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5-84-212/2023</w:t>
      </w:r>
    </w:p>
    <w:p w:rsidR="00A77B3E">
      <w:r>
        <w:t>УИД 91MS0084-01-2023-001009-37</w:t>
      </w:r>
    </w:p>
    <w:p w:rsidR="00A77B3E"/>
    <w:p w:rsidR="00A77B3E">
      <w:r>
        <w:t>П о с т а н о в л е н и е</w:t>
      </w:r>
    </w:p>
    <w:p w:rsidR="00A77B3E">
      <w:r>
        <w:t>19 сентября 2023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МБУДО «Детская школа искусств» Абтишаева Айдера Азизовича, 05.05.1974 года рождения, уроженца г. Шахрисябз Кашкадарь области Узбекской ССР, гражданина РФ,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 являясь директором МБУДО «Детская школа искусств» дата в время нарушил срок предоставления расчета сумм налога на доходы физических лиц, исчисленных и удержанных налоговым агентом за 3 месяца дата, срок предоставления – дата, фактически предоставлен – дата, чем нарушил положения п. 2 ст. 230 НК РФ, совершив административное правонарушение, предусмотренное ч.1 ст. 15.6 КоАП РФ. </w:t>
      </w:r>
    </w:p>
    <w:p w:rsidR="00A77B3E">
      <w:r>
        <w:t xml:space="preserve">фио в судебное заседание не явился, о месте и времени рассмотрения дела уведомлен надлежащим образом, направил в адрес суда ходатайство, в котором просил рассмотреть дело об административном правонарушении в его отсутствие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№91082317300183700002 от дата (л.д.1-2); выпиской из ЕГРЮЛ (л.д.3,4); квитанцией о приеме налоговой декларации (расчета) в электронном виде (л.д.5); подтверждением даты отправки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ст.230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25-го числа месяца, следующего за соответствующим периодом, за год - не позднее дата года, следующего за истекшим налоговым периодом. В расчете сумм налога на доходы физических лиц, исчисленных и удержанных налоговым агентом, подлежат отражению за первый квартал удержанные суммы налога в период с дата по дата включительно, за полугодие - удержанные суммы налога в период с дата по дата включительно, за девять месяцев - удержанные суммы налога в период с дата по дата включительно.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 правонарушение судом признается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директора МБУДО «Детская школа искусств» Абтишаева Айдера Азизовича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