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фио, паспортные данные, зарегистрированного и проживающего по адресу: адрес, гражданин РФ,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 по адресу: адрес нарушил установленные в суде правила: возмущался, кричал, показывал свое недовольство, привлекая к себе внимание окружающих. На неоднократные законные требования судебного пристава по ОУПДС ОСП по адрес прекратить действия, нарушающие установленные в суде правила, не отреагировал. Своими действиями фио, 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1081 от дата  /л.д. 1-3/;</w:t>
      </w:r>
    </w:p>
    <w:p w:rsidR="00A77B3E">
      <w:r>
        <w:t xml:space="preserve">- письменными объяснениями фио и фио от дата /л.д. 6-7/.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