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 адрес, гражданина Российской Федерации, генерального директора наименование организации, зарегистрированного и проживающего по адресу: адрес, разведен, инвалидности нет, ранее к административной ответственности не привлекался: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дата, вынесенным  мировым судьей судебного участка №86 Судакского судебного района (городской адрес), фио признан виновным в совершении административного правонарушения, предусмотренного ст. 15.6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В судебном заседании фио с протоколом об административном правонарушении согласился, свою вину признал, пояснив, что штраф вовремя не оплатил, обязуется оплатить в ближайшее время. 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помимо его объяснений, данных в судебном заседании, подтверждается исследованными материалами дела: </w:t>
      </w:r>
    </w:p>
    <w:p w:rsidR="00A77B3E">
      <w:r>
        <w:t>- протоколом № 959 от дата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от дата /л.д. 4-7/;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       /л.д. 11/;</w:t>
      </w:r>
    </w:p>
    <w:p w:rsidR="00A77B3E">
      <w:r>
        <w:t>- справка от ОСП по адрес УФССП России по адрес /л.д. 12/;</w:t>
      </w:r>
    </w:p>
    <w:p w:rsidR="00A77B3E">
      <w:r>
        <w:t>- письменными объяснениями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82811601203010025140.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