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5-85-130/2022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25 апреля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 фио по ст. 17.8 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17.8  КоАП РФ, в отношении фио</w:t>
      </w:r>
    </w:p>
    <w:p w:rsidR="00A77B3E">
      <w:r>
        <w:t xml:space="preserve">Согласно копии свидетельства о смерти, фио умерла 24.03.2022 г. </w:t>
      </w:r>
    </w:p>
    <w:p w:rsidR="00A77B3E">
      <w:r>
        <w:t xml:space="preserve">В соответствии с п. 8 ч. 1 ст. 24.5 КоАП РФ производство по делу об административном правонарушении подлежит прекращению в случае смерти физического лица, в отношении которого ведется производство по делу об административном правонарушении. 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фио по ст. 17.8  КоАП РФ в ее смертью.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