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>фио Асклипиады Петровны,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 В качестве индивидуального предпринимателя в налоговом органе в установленном порядке по состоянию на дата фио   не зарегистрирована. дата в время при наличном денежном расчете за сдачу жилья внаём приняла от клиентов сумма, при этом документ подтверждающий факт оплаты не выдавался. Номерной фонд составляет 6 номеров, на дата занято 5 номеров, средняя стоимость номера в дата составляет от сумма до сумма ориентировочный доход, полученный в дата составил сумма За период дата, дата, дата фио декларацию по форме 3-НДФЛ не сдавала, налог не уплачивала. Таким образом, все выше перечисленные факты указывают, что действия фио направлены именно на систематическое получение дохода от сдачи жилья.</w:t>
      </w:r>
    </w:p>
    <w:p w:rsidR="00A77B3E">
      <w:r>
        <w:t>дата по указанному факту в отношении фио  составлен протокол об административном правонарушении №91082121500163400001 по ч.1 ст.14.1 КоАП РФ.</w:t>
      </w:r>
    </w:p>
    <w:p w:rsidR="00A77B3E">
      <w:r>
        <w:t>фио в судебное заседание явилась, вину признала, с протоколом согласилась, пояснила, что в летний период сдает принадлежащее мужу жилье отдыхающим. Так, дата к ней приехали 2 женщины, которым она показала один из номеров, номер им понравился и они передали ей за проживание в этом номере сумма, которые она взяла. В качестве ИП ни она, ни ее муж по состоянию на дата зарегистрированы не были.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 в качестве индивидуального предпринимателя.</w:t>
      </w:r>
    </w:p>
    <w:p w:rsidR="00A77B3E">
      <w:r>
        <w:t>Таким образом, действия фио 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№91082121500163400001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 /л.д. 4/;</w:t>
      </w:r>
    </w:p>
    <w:p w:rsidR="00A77B3E">
      <w:r>
        <w:t>- фототаблицей /л.д. 7-9/;</w:t>
      </w:r>
    </w:p>
    <w:p w:rsidR="00A77B3E">
      <w:r>
        <w:t>- видеозаписью /л.д. 10/;</w:t>
      </w:r>
    </w:p>
    <w:p w:rsidR="00A77B3E">
      <w:r>
        <w:t>- объяснениями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Асклипиаду Петровну,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