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5-87-392/2020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Звонарева Д.А.,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Звонарева Д... А..., паспортные данные, гражданина ..., зарегистрированного по адресу: адрес, адрес,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Звонарев Д.А., находясь по месту свого жительства: адрес,                      адрес,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не уплатил административный штраф в срок, предусмотренный                    ст. 32.2 ч.1 КоАП РФ, то есть до дата, с учетом праздничных и выходных дней. </w:t>
      </w:r>
    </w:p>
    <w:p w:rsidR="00A77B3E">
      <w:r>
        <w:t xml:space="preserve">            В судебном заседании Звонарев Д.А. пояснил, что не уплатил штраф в связи с тяжелым материальным положением. Просил назначить меру административного наказания в виде штрафа. Вину признал, раскаялся в содеянном. </w:t>
      </w:r>
    </w:p>
    <w:p w:rsidR="00A77B3E">
      <w:r>
        <w:t xml:space="preserve">            Заслушав пояснения Звонарева Д.А.,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Звонарева Д.А.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Звонарева Д.А.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№ РК телефон от дата; копией постановления заместителя начальника полиции (по охране общественного порядка) ОМВД России по адрес от дата о привлечении Звонарева Д.А. к административной ответственности по ч.1 ст. 20.20 КоАП РФ к штрафу в размере сумма. Согласно резолютивной части указанного постановления Звонареву Д.А.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Звонарева Д.А.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Звонарева Д.А., признавшего вину и раскаявшегося в содеянном, что являются обстоятельствами, смягчающими наказание,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Звонарева Д... А...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Звонареву Д.А.,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                      </w:t>
        <w:tab/>
        <w:t>Т.Н. Ваянова</w:t>
      </w:r>
    </w:p>
    <w:p w:rsidR="00A77B3E"/>
    <w:p w:rsidR="00A77B3E">
      <w:r>
        <w:tab/>
        <w:tab/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