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5-89-11/2020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(ИНН: телефон, КПП: телефон, юридический адрес: адрес, вн</w:t>
      </w:r>
      <w:r>
        <w:t>есена запись в ЕГЛЮЛ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генеральным директором наименование организации, юридический адрес: адрес, находясь по</w:t>
      </w:r>
      <w:r>
        <w:t xml:space="preserve"> месту нахождения организации, не представил в Межрайонную ИФНС России № 4 по адрес своевременно бухгалтерскую отчетность за дата, срок предоставления которой установлен до дата, тем самым дата совершил административное правонарушение, предусмотренное ч. 1</w:t>
      </w:r>
      <w:r>
        <w:t xml:space="preserve"> ст. 15.6 КоАП РФ. </w:t>
      </w:r>
    </w:p>
    <w:p w:rsidR="00A77B3E">
      <w:r>
        <w:t>Надлежащим образом уведомленный фио в судебное заседание не явился, ходатайств об отложении рассмотрения дела на белее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</w:t>
      </w:r>
      <w:r>
        <w:t>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ч.1 ст. 15.6 КоАП РФ, полност</w:t>
      </w:r>
      <w:r>
        <w:t xml:space="preserve">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91081919720586700004 об административном правонарушении от дата, а также подтверждается материалами дела, поскольку достоверность доказательств, имеющих</w:t>
      </w:r>
      <w:r>
        <w:t>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</w:t>
      </w:r>
      <w:r>
        <w:t xml:space="preserve">ении к административной ответственности соблюдены.  </w:t>
      </w:r>
    </w:p>
    <w:p w:rsidR="00A77B3E">
      <w:r>
        <w:t>Мировой судья, действия фио 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</w:t>
      </w:r>
      <w:r>
        <w:t>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</w:t>
      </w:r>
      <w:r>
        <w:t>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</w:t>
      </w:r>
      <w:r>
        <w:t>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ей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</w:t>
      </w:r>
      <w:r>
        <w:t>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</w:t>
      </w:r>
      <w:r>
        <w:t>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</w:t>
      </w:r>
      <w:r>
        <w:t>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00"/>
    <w:rsid w:val="00A77B3E"/>
    <w:rsid w:val="00B94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90DEBF-C407-4F58-92CA-95C8EA47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