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5-89-64/2021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Муниципального бюджетного наименование организации муниципального образования адрес Крым» (ИНН телефон, юридиче</w:t>
      </w:r>
      <w:r>
        <w:t>ский адрес: адрес, адрес), зарегистрированной по адресу: адрес,</w:t>
      </w:r>
    </w:p>
    <w:p w:rsidR="00A77B3E">
      <w:r>
        <w:t>в совершении правонарушения, предусмотренного ст.15.15.5-1 КоАП РФ, -</w:t>
      </w:r>
    </w:p>
    <w:p w:rsidR="00A77B3E"/>
    <w:p w:rsidR="00A77B3E">
      <w:r>
        <w:t>У С Т А Н О В И Л:</w:t>
      </w:r>
    </w:p>
    <w:p w:rsidR="00A77B3E"/>
    <w:p w:rsidR="00A77B3E">
      <w:r>
        <w:t>09.012.2020 года по адресу: адрес, адрес должностным лицом – директором Муниципального бюджетного наи</w:t>
      </w:r>
      <w:r>
        <w:t>менование организации муниципального образования адрес Крым» фио не выполнено муниципальное задание на дата в виде невыполнения качественных и объемных параметров муниципального задания. Данные обстоятельства послужили основанием для возбуждения дела об ад</w:t>
      </w:r>
      <w:r>
        <w:t xml:space="preserve">министративном правонарушении по ч.1 ст.15.15.5-1 КоАП РФ. </w:t>
      </w:r>
    </w:p>
    <w:p w:rsidR="00A77B3E">
      <w:r>
        <w:t>О дате рассмотрения дела об административном правонарушении фио уведомлен надлежащим образом, однако в судебное заседание не явился. Ходатайств об отложении дела суду не предоставил.</w:t>
      </w:r>
    </w:p>
    <w:p w:rsidR="00A77B3E">
      <w:r>
        <w:t>Согласно ст.2</w:t>
      </w:r>
      <w:r>
        <w:t>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Выслушав участвующих в деле лиц, изучив материалы дела, исследовав предс</w:t>
      </w:r>
      <w:r>
        <w:t xml:space="preserve">тавленные доказательства в их совокупности, мировой судья приходит к следующим выводам. </w:t>
      </w:r>
    </w:p>
    <w:p w:rsidR="00A77B3E">
      <w:r>
        <w:t xml:space="preserve">В силу ч.1 ст.15.15.5-1 КоАП РФ невыполнение государственного (муниципального) задания влечет предупреждение или наложение административного штрафа на должностных лиц </w:t>
      </w:r>
      <w:r>
        <w:t>в размере от ста до сумма прописью.</w:t>
      </w:r>
    </w:p>
    <w:p w:rsidR="00A77B3E">
      <w:r>
        <w:t>В силу ст. 9.2 Федерального закона от дата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</w:t>
      </w:r>
      <w:r>
        <w:t>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</w:t>
      </w:r>
      <w:r>
        <w:t>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A77B3E">
      <w:r>
        <w:t>Бюджетное учреждение осуществляет свою деятельность в соответствии с предметом и целями деятельности, о</w:t>
      </w:r>
      <w:r>
        <w:t xml:space="preserve">пределенными в соответствии с федеральными </w:t>
      </w:r>
      <w:r>
        <w:t>законами, иными нормативными правовыми актами, муниципальными правовыми актами и уставом (часть 2).</w:t>
      </w:r>
    </w:p>
    <w:p w:rsidR="00A77B3E">
      <w:r>
        <w:t>Государственные (муниципальные) задания для бюджетного учреждения в соответствии с предусмотренными его учредител</w:t>
      </w:r>
      <w:r>
        <w:t>ьными документами основными видами деятельности формирует и утверждает соответствующий орган, осуществляющий функции и полномочия учредителя (часть 3).</w:t>
      </w:r>
    </w:p>
    <w:p w:rsidR="00A77B3E">
      <w:r>
        <w:t xml:space="preserve">В силу норм п. 6 ст. 69.2 БК РФ государственное (муниципальное) задание является невыполненным в случае </w:t>
      </w:r>
      <w:r>
        <w:t>недостижения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</w:t>
      </w:r>
      <w:r>
        <w:t>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A77B3E">
      <w:r>
        <w:t>Положениями ст. 69.2 БК РФ установлены общие требования к формиров</w:t>
      </w:r>
      <w:r>
        <w:t>анию и исполнению показателей государственного (муниципального) задания. Из положений данной статьи следует, что государственное (муниципальное) задание формируется органом исполнительной власти, выполняющим функции учредителя (далее - учредитель). Оно дол</w:t>
      </w:r>
      <w:r>
        <w:t>жно содержать: показатели, характеризующие качество и (или) объем (содержание) оказываемых государственных (муниципальных) услуг (выполняемых работ); порядок контроля за исполнением государственного (муниципального) задания, в том числе условия и порядок е</w:t>
      </w:r>
      <w:r>
        <w:t>го досрочного прекращения; требования к отчетности об исполнении государственного (муниципального) задания.</w:t>
      </w:r>
    </w:p>
    <w:p w:rsidR="00A77B3E">
      <w:r>
        <w:t>Проверка выполнения государственного (муниципального) задания учредителя проводится по следующим основным направлениям: соответствие показателей гос</w:t>
      </w:r>
      <w:r>
        <w:t>ударственного (муниципального) задания, характеризующих объем оказываемых государственных (муниципальных) услуг (выполняемых работ), фактическим данным; выявление отклонения в отношении показателей государственного (муниципального) задания, характеризующих</w:t>
      </w:r>
      <w:r>
        <w:t xml:space="preserve">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задании; достоверность сведений, отраженных в отчете о выполнении задания учредителя.</w:t>
      </w:r>
    </w:p>
    <w:p w:rsidR="00A77B3E">
      <w:r>
        <w:t>Проверка выполнения у</w:t>
      </w:r>
      <w:r>
        <w:t xml:space="preserve">чреждением количественных и качественных показателей государственного (муниципального) задания осуществляется путем: изучения информации о деятельности проверяемой организации, содержащейся в документах; анализа информации о количественных, качественных и </w:t>
      </w:r>
      <w:r>
        <w:t>иных характеристиках объекта проверки, в ходе которого определяется фактическое соответствие показателей задания учредителя совершенным операциям (фактам хозяйственной жизни).</w:t>
      </w:r>
    </w:p>
    <w:p w:rsidR="00A77B3E">
      <w:r>
        <w:t>В ходе проверки используется как сплошной, так и выборочный метод проверки. Объе</w:t>
      </w:r>
      <w:r>
        <w:t>м выборки определяется ревизором самостоятельно исходя из принципа достижения разумной уверенности в том, что выбранные условия с достаточной степенью надежности обеспечивают достижение цели проверки.</w:t>
      </w:r>
    </w:p>
    <w:p w:rsidR="00A77B3E">
      <w:r>
        <w:t>В судебном заседании установлено, что Контрольно-счетно</w:t>
      </w:r>
      <w:r>
        <w:t xml:space="preserve">й палатой муниципального образования адрес Крым проведена проверка в отношении МБУК </w:t>
      </w:r>
      <w:r>
        <w:t xml:space="preserve">«ФГДК МОГОФ РК» на предмет, в частности, исполнения муниципального задания на дата. </w:t>
      </w:r>
    </w:p>
    <w:p w:rsidR="00A77B3E">
      <w:r>
        <w:t>По результатам проверки дата оставлен акт №02-14/32, согласно которому проверкой устано</w:t>
      </w:r>
      <w:r>
        <w:t xml:space="preserve">влено, что при выполнении МБУК «ФГДК МОГОФ РК» муниципального задания на дата предоставлена недостоверная информация, осуществлено невыполнение качественных и объемных параметров муниципального задания, а значит муниципальное задание на дата не выполнено. </w:t>
      </w:r>
    </w:p>
    <w:p w:rsidR="00A77B3E">
      <w:r>
        <w:t xml:space="preserve">Факт совершения директором МБУК «Коктебельский ДК «Юбилейный» МОГОФ РК» фио административного правонарушения, предусмотренного ч.1 ст. 15.15.5-1 КоАП РФ, подтверждается доказательствами, оцененными в совокупности и в соответствии с требованиями ст. 26.11 </w:t>
      </w:r>
      <w:r>
        <w:t>КоАП РФ, оглашенными в судебном заседании, а именно: протоколом об административном правонарушении от дата №02-14/32, копией муниципального задания на дата.; копией распоряжения от дата № 1330-л; копией отчета о выполнении муниципального задания от дата, а</w:t>
      </w:r>
      <w:r>
        <w:t xml:space="preserve"> также иными материалами дела. </w:t>
      </w:r>
    </w:p>
    <w:p w:rsidR="00A77B3E">
      <w:r>
        <w:t>Таким образом, вина фио в совершении административного правонарушения, предусмотренного ст. 15.15.5-1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</w:t>
      </w:r>
      <w:r>
        <w:t xml:space="preserve">аказания, в соответствии со ст.ст.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</w:t>
      </w:r>
    </w:p>
    <w:p w:rsidR="00A77B3E">
      <w:r>
        <w:t xml:space="preserve">При таких </w:t>
      </w:r>
      <w:r>
        <w:t>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правонарушения, </w:t>
      </w:r>
      <w:r>
        <w:t>предусмотренного ст. 15.5.5-1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</w:t>
      </w:r>
      <w:r>
        <w:t>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CF"/>
    <w:rsid w:val="00A16D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DEC485-B339-456A-B0C1-FE013FF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