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5-89-158/2021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>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, находясь вблизи дома № 108, расположенного по адрес </w:t>
      </w:r>
      <w:r>
        <w:t>адрес</w:t>
      </w:r>
      <w:r>
        <w:t>, ос</w:t>
      </w:r>
      <w:r>
        <w:t xml:space="preserve">уществлял перевозку лома черного металла общей массой 120 кг.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</w:t>
      </w:r>
      <w:r>
        <w:t>от дата № 369 «Об утверждении правил обращения с ломом и отходами металлов».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правонарушении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</w:t>
      </w:r>
      <w:r>
        <w:t>, предусмотренного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</w:t>
      </w:r>
      <w:r>
        <w:t>ия вещей и документов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>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</w:t>
      </w:r>
      <w:r>
        <w:t>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</w:t>
      </w:r>
      <w:r>
        <w:t xml:space="preserve">в и их отчуждения», на объектах по приему лома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</w:t>
      </w:r>
      <w:r>
        <w:t>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</w:t>
      </w:r>
      <w:r>
        <w:t>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</w:t>
      </w:r>
      <w:r>
        <w:t>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</w:t>
      </w:r>
      <w:r>
        <w:t>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</w:t>
      </w:r>
      <w:r>
        <w:t>нии дела, так как он совершил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</w:t>
      </w:r>
      <w:r>
        <w:t>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предметов административного правонаруше</w:t>
      </w:r>
      <w:r>
        <w:t>ния.</w:t>
      </w:r>
    </w:p>
    <w:p w:rsidR="00A77B3E">
      <w:r>
        <w:t xml:space="preserve">Изъятый автомобиль марка автомобиля, а также лом черного метала весом 120 кг. надлежит вернуть по принадлежности </w:t>
      </w:r>
      <w:r>
        <w:t>фио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</w:t>
      </w:r>
      <w:r>
        <w:t>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</w:t>
      </w:r>
      <w:r>
        <w:t xml:space="preserve">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</w:t>
      </w:r>
      <w:r>
        <w:t xml:space="preserve"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</w:t>
      </w:r>
      <w:r>
        <w:t>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  <w:t xml:space="preserve"> </w:t>
      </w:r>
      <w:r>
        <w:tab/>
        <w:t xml:space="preserve">Копия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DD"/>
    <w:rsid w:val="00A747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