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5-89-260/2021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адрес, гражданина Российской Федерации, являющейся председателем Союза художников и ремесленников Коктебеля (ИНН: телефон, КПП: телефон, юридический ад</w:t>
      </w:r>
      <w:r>
        <w:t>рес: адрес, адрес, внесена запись о юридическом лице в ЕГРЮЛ: дата), зарегистрированной по адресу: адрес,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председателем Союза художников и ремесленнико</w:t>
      </w:r>
      <w:r>
        <w:t>в Коктебеля, находясь по юридическому адресу юридического лица: адрес, адрес,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</w:t>
      </w:r>
      <w:r>
        <w:t xml:space="preserve">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предоставила в установленный Налоговым кодекс РФ срок расчет по страховым взносам за 9 месяца дата.</w:t>
      </w:r>
    </w:p>
    <w:p w:rsidR="00A77B3E">
      <w:r>
        <w:t>Согласно п. 1 ст. 333.15 Налогового кодекса РФ, налогоплательщики обязан</w:t>
      </w:r>
      <w:r>
        <w:t>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</w:t>
      </w:r>
      <w:r>
        <w:t xml:space="preserve">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</w:t>
      </w:r>
      <w:r>
        <w:t>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</w:t>
      </w:r>
      <w:r>
        <w:t>я правонарушения – дата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явилась, вину признала.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</w:t>
      </w:r>
      <w:r>
        <w:t xml:space="preserve">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№91082113200118700001 от дата, а также материалами дела, поскольку достоверность доказательств, имеющихся в материалах дела об ад</w:t>
      </w:r>
      <w:r>
        <w:t xml:space="preserve">министративном </w:t>
      </w:r>
      <w:r>
        <w:t>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</w:t>
      </w:r>
      <w:r>
        <w:t xml:space="preserve">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</w:t>
      </w:r>
      <w:r>
        <w:t xml:space="preserve">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</w:t>
      </w:r>
      <w:r>
        <w:t xml:space="preserve">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</w:t>
      </w:r>
      <w:r>
        <w:t>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</w:t>
      </w:r>
      <w:r>
        <w:t>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/подпись/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97"/>
    <w:rsid w:val="00630D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