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5-89-307/2021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Сулима </w:t>
      </w:r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Сулима И.Б. совершил админ</w:t>
      </w:r>
      <w:r>
        <w:t xml:space="preserve">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 время, Сулима И.Б. находился в общественно</w:t>
      </w:r>
      <w:r>
        <w:t>м месте по адресу: адрес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 изо рта</w:t>
      </w:r>
      <w:r>
        <w:t xml:space="preserve"> исходил резкий запах алкоголя, в окружающей обстановке ориентировался слабо. </w:t>
      </w:r>
    </w:p>
    <w:p w:rsidR="00A77B3E">
      <w:r>
        <w:t xml:space="preserve">Сулима И.Б.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Сулима И.Б. в совершении административн</w:t>
      </w:r>
      <w:r>
        <w:t>ого правонарушения, предусмотренного ст. 20.21 КоАП РФ, полностью доказанной.</w:t>
      </w:r>
    </w:p>
    <w:p w:rsidR="00A77B3E">
      <w:r>
        <w:t>Вина Сулима И.Б.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</w:t>
      </w:r>
      <w:r>
        <w:t xml:space="preserve"> административном правонарушении от дата, актом медицинского освидетельствования на состояние опьянения № 450 от дата, а также исследованными в судебном заседании материалами дела, достоверность которых не вызывает у суда сомнений, поскольку они не противо</w:t>
      </w:r>
      <w:r>
        <w:t>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Сулима И.Б. в совершени</w:t>
      </w:r>
      <w:r>
        <w:t>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</w:t>
      </w:r>
      <w:r>
        <w:t>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</w:t>
      </w:r>
      <w:r>
        <w:t>но.</w:t>
      </w:r>
    </w:p>
    <w:p w:rsidR="00A77B3E">
      <w:r>
        <w:t>При таких обстоятельствах суд считает необходимым назначить Сулима И.Б.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 xml:space="preserve">Сулима </w:t>
      </w:r>
      <w:r>
        <w:t>фио</w:t>
      </w:r>
      <w:r>
        <w:t xml:space="preserve"> признать виновным в совершени</w:t>
      </w:r>
      <w:r>
        <w:t>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</w:t>
      </w:r>
      <w:r>
        <w:t>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</w:t>
      </w:r>
      <w:r>
        <w:t xml:space="preserve">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</w:t>
      </w:r>
      <w:r>
        <w:t>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</w:t>
      </w:r>
      <w:r>
        <w:t>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2C"/>
    <w:rsid w:val="00A77B3E"/>
    <w:rsid w:val="00CD5A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