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</w:t>
      </w:r>
      <w:r>
        <w:t>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</w:t>
      </w:r>
      <w:r>
        <w:t>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</w:t>
      </w:r>
      <w:r>
        <w:t>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в магазине «ПУД»</w:t>
      </w:r>
      <w:r>
        <w:t>, расположенной по адресу: адрес, тайно похитил бутылку алкогольной продукции – вино игристое торговой марки «</w:t>
      </w:r>
      <w:r>
        <w:t>Инкерман</w:t>
      </w:r>
      <w:r>
        <w:t>», объемом 0,75 л стоимостью сумма (с НДС), принадлежащую наименование организации, причинив материальный ущерб на сумму сумма коп, что за</w:t>
      </w:r>
      <w:r>
        <w:t xml:space="preserve">регистрировано в ОМВД России по </w:t>
      </w:r>
      <w:r>
        <w:t>адресфио</w:t>
      </w:r>
      <w:r>
        <w:t xml:space="preserve"> под № 9256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</w:t>
      </w:r>
      <w:r>
        <w:t>рушении № РК-телефон от дата, накладной на внутренне перемещение , передачу товаров, тары наименование организации, отношением от дата, а также исследованными в судебном заседании материалами дела, достоверность которых не вызывает у суда сомнений, посколь</w:t>
      </w:r>
      <w:r>
        <w:t>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превышает сумма прописью, путем кра</w:t>
      </w:r>
      <w:r>
        <w:t xml:space="preserve">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t>третьей и четвертой статьи 159.</w:t>
      </w:r>
      <w:r>
        <w:t>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</w:t>
      </w:r>
      <w:r>
        <w:t>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</w:t>
      </w:r>
      <w:r>
        <w:t xml:space="preserve">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</w:t>
      </w:r>
      <w:r>
        <w:t>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</w:t>
      </w:r>
      <w:r>
        <w:t>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</w:t>
      </w:r>
      <w:r>
        <w:t xml:space="preserve">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</w:t>
      </w:r>
      <w:r>
        <w:t>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</w:t>
      </w:r>
      <w:r>
        <w:t xml:space="preserve">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1A"/>
    <w:rsid w:val="000559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