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5-89-396/2021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дата, примерно в время, наход</w:t>
      </w:r>
      <w:r>
        <w:t xml:space="preserve">ясь по адресу: адрес возле д.38, умышленного нанес телесные повреждения </w:t>
      </w:r>
      <w:r>
        <w:t>фио</w:t>
      </w:r>
      <w:r>
        <w:t>, причинив последнему физическую боль, т.е. совершил насильственные действия, причинившие физическую боль, но не повлекшие последствия, указанные в статье 115 Уголовного кодекса Рос</w:t>
      </w:r>
      <w:r>
        <w:t xml:space="preserve">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фиообнаружены</w:t>
      </w:r>
      <w:r>
        <w:t xml:space="preserve"> ссадины и ушиб мягких тканей левого бедра.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>Иссл</w:t>
      </w:r>
      <w:r>
        <w:t xml:space="preserve">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правонарушении являются любые фактические данны</w:t>
      </w:r>
      <w:r>
        <w:t>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>
        <w:t>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</w:t>
      </w:r>
      <w:r>
        <w:t>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</w:t>
      </w:r>
      <w:r>
        <w:t>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также исследованными в судебном заседании иными материалами дела об администр</w:t>
      </w:r>
      <w:r>
        <w:t>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</w:t>
      </w:r>
      <w:r>
        <w:t xml:space="preserve">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</w:t>
      </w:r>
      <w:r>
        <w:t xml:space="preserve">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иных насильственных де</w:t>
      </w:r>
      <w:r>
        <w:t xml:space="preserve">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 xml:space="preserve">При назначении наказания суд учитывает характер административного </w:t>
      </w:r>
      <w:r>
        <w:t xml:space="preserve">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обстоятельств, и приходит к выводу о необходимости назначения наказания в ви</w:t>
      </w:r>
      <w:r>
        <w:t>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</w:t>
      </w:r>
      <w:r>
        <w:t>АП РФ, суд</w:t>
      </w:r>
    </w:p>
    <w:p w:rsidR="00A77B3E"/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>Реквизиты для оплаты штрафа: Пол</w:t>
      </w:r>
      <w:r>
        <w:t>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</w:t>
      </w:r>
      <w:r>
        <w:t xml:space="preserve">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</w:t>
      </w:r>
      <w:r>
        <w:t>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</w:t>
      </w:r>
      <w:r>
        <w:t>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</w:t>
      </w:r>
      <w:r>
        <w:t xml:space="preserve">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9A"/>
    <w:rsid w:val="008012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