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5-89-409/2021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</w:t>
      </w:r>
      <w:r>
        <w:t>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 xml:space="preserve">дата в время часов по адресу: адрес установлен </w:t>
      </w:r>
      <w:r>
        <w:t>фио</w:t>
      </w:r>
      <w:r>
        <w:t>, который употребил наркотическое вещество. Согласно акта медиц</w:t>
      </w:r>
      <w:r>
        <w:t xml:space="preserve">инского освидетельствования на состояние опьянения № 545 от дата установлено состояние наркотического опьянения, факт употребления наркотического вещества – 11-нор-D-9-тетрагидроканнабиноловая кислота, без назначения врача. Своими действиями </w:t>
      </w:r>
      <w:r>
        <w:t>фио</w:t>
      </w:r>
      <w:r>
        <w:t xml:space="preserve"> нарушил ст</w:t>
      </w:r>
      <w:r>
        <w:t>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</w:t>
      </w:r>
      <w:r>
        <w:t xml:space="preserve">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РК-телефон от дата, а также исследованными в судебном заседании материалами де</w:t>
      </w:r>
      <w:r>
        <w:t>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</w:t>
      </w:r>
      <w:r>
        <w:t xml:space="preserve">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</w:t>
      </w:r>
      <w:r>
        <w:t>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</w:t>
      </w:r>
      <w:r>
        <w:t xml:space="preserve">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Согласно ст. 4.1 ч. 2.1 КоАП РФ следует, что при назначении </w:t>
      </w:r>
      <w:r>
        <w:t xml:space="preserve">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</w:t>
      </w:r>
      <w:r>
        <w:t>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</w:t>
      </w:r>
      <w:r>
        <w:t>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</w:t>
      </w:r>
      <w:r>
        <w:t xml:space="preserve">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</w:t>
      </w:r>
      <w:r>
        <w:t>енного, руководствуясь ст.6.9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для о</w:t>
      </w:r>
      <w:r>
        <w:t>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</w:t>
      </w:r>
      <w:r>
        <w:t xml:space="preserve">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</w:t>
      </w:r>
      <w:r>
        <w:t>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</w:t>
      </w:r>
      <w:r>
        <w:t xml:space="preserve">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</w:t>
      </w:r>
      <w:r>
        <w:t>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</w:t>
      </w:r>
      <w:r>
        <w:t xml:space="preserve">                          /подпись/                         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>
      <w:r>
        <w:t>фио</w:t>
      </w:r>
      <w:r>
        <w:t xml:space="preserve">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DA"/>
    <w:rsid w:val="008F44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