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05-0039/9/2025</w:t>
      </w:r>
    </w:p>
    <w:p w:rsidR="00A77B3E">
      <w:r>
        <w:t xml:space="preserve">                                                                                                                   (05-0706/9/2024)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в отношении </w:t>
      </w:r>
    </w:p>
    <w:p w:rsidR="00A77B3E">
      <w:r>
        <w:t>директора наименование организации (адрес, литера Б, офис 4) фио, паспортные данные,</w:t>
      </w:r>
    </w:p>
    <w:p w:rsidR="00A77B3E">
      <w:r>
        <w:t xml:space="preserve">                                                        установил:</w:t>
      </w:r>
    </w:p>
    <w:p w:rsidR="00A77B3E">
      <w:r>
        <w:t xml:space="preserve">фио – директор наименование организации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ОСФР по адрес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дата. 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дата года является  дата. Фактически сведения ЕФС-1 представлены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(л.д.1), выписку из ЕГРЮЛ (л.д. 8-10), форма ЕФС-1 (л.д. 12-13),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15.33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фио,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79791010312240477694, назначение платежа – административный штраф от фио по решению № 05-0039/9/2025, регистрационный номер 910102004491011).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