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05-0140/9/2024</w:t>
      </w:r>
    </w:p>
    <w:p w:rsidR="00A77B3E">
      <w:r>
        <w:t xml:space="preserve">                                                                                          УИД 91MS0009-01-2024-000553-61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 xml:space="preserve">            02 апреля 2024 года</w:t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Строительная Торговая Компания «Гарант» (...,</w:t>
      </w:r>
    </w:p>
    <w:p w:rsidR="00A77B3E">
      <w:r>
        <w:t xml:space="preserve">                                                                  установил: </w:t>
      </w:r>
    </w:p>
    <w:p w:rsidR="00A77B3E">
      <w:r>
        <w:t>Махмутов К.А. – директор ООО Строительная Торговая Компания «Гарант», не представил в установленный законодательством о налогах и сборах срок налоговую декларацию по налогу на прибыль за полугодие 2023 года (расчет авансового платежа за отчетный период код 31, который относится к сведениям, необходимым для осуществления налогового контроля).</w:t>
      </w:r>
    </w:p>
    <w:p w:rsidR="00A77B3E">
      <w:r>
        <w:t>Махмутов К.А.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25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полугодие 2023 года – не позднее 25 июля 2023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31, который относится к сведениям, необходимым для осуществления налогового контроля) за полугодие 2023 года подана ООО Строительная Торговая Компания «Гарант» с нарушением установленного срока 01 августа 2023 года, то есть на 7 календарных дней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20 февраля 2024 года  об административном правонарушении (л.д.1-4), копию налоговой декларации (л.д. 11), копию акта №19769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(л.д.12-13), копию решения №1407 (л.д.18), копию выписки из ЕГРЮЛ (л.д.21-24), а также иные материалы, как надлежащие доказательства.</w:t>
      </w:r>
    </w:p>
    <w:p w:rsidR="00A77B3E">
      <w:r>
        <w:t xml:space="preserve">С учетом обстоятельств дела, прихожу к выводу о том, что Махмутова К.А.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Общества с ограниченной ответственностью Строительная Торговая Компания «Гарант» Махмутова Кирилла Анатольевича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                            УИН 0410760300095001412415100.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