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Дело № 05-0158/9/2023</w:t>
      </w:r>
    </w:p>
    <w:p w:rsidR="00A77B3E">
      <w:r>
        <w:t xml:space="preserve">                                                  ПОСТАНОВЛЕНИЕ</w:t>
      </w:r>
    </w:p>
    <w:p w:rsidR="00A77B3E">
      <w:r>
        <w:t>03 апреля 2023 года</w:t>
        <w:tab/>
        <w:t xml:space="preserve">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при участии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 УССР, зарегистрированного и паспортные данные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фио в судебном заседании с нарушением  согласился, вину признал.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дата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дата наименование организации в органы Пенсионного фонда Российской Федерации представлены по форме СЗВ-М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96 (л.д. 1), копию выписки из ЕГРЮЛ (л.д. 5-6); сведения электронного документооборота (л.д. 8), копию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 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нарушение пенсионного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ст.ст. 29.9-29.10 КоАП РФ.</w:t>
      </w:r>
    </w:p>
    <w:p w:rsidR="00A77B3E">
      <w:r>
        <w:t xml:space="preserve">                                                     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 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