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05-0212/9/2025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при участии защитника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 паспортные данные Ярмолинцы адрес, паспортные данные, ИНН 910219249720,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Защитник фио в судебном заседании ходатайствовала о замене административного штрафа предупреждением.</w:t>
      </w:r>
    </w:p>
    <w:p w:rsidR="00A77B3E">
      <w:r>
        <w:t>Заслушав защитника, 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одного застрахованного лица с кадровым мероприятием «Начало договора ГПХ» №79834/1 от дата,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091S20240003581 (л.д.1-2), форму ЕФС-1 (л.д. 5-6), копию выписки из ЕГРЮЛ (л.д. 14-18), 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Ходатайство защитника о замене административного штрафа предупреждением не подлежит удовлетворению, поскольку фио не является лицом, впервые совершившим однородное правонарушение.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79709100000000070872, постановление № 05-0212/9/2025, рег. номер организации в СФР телефон-телефон.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