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05-0281/9/2025</w:t>
      </w:r>
    </w:p>
    <w:p w:rsidR="00A77B3E">
      <w:r>
        <w:t>УИД MS0078-телефон-телефон</w:t>
      </w:r>
    </w:p>
    <w:p w:rsidR="00A77B3E">
      <w:r>
        <w:t xml:space="preserve">                                               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       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руководителя Общества с ограниченной ответственностью «Производственно- технологическая наименование организации (адрес) фио, паспортные данные, урож., пост. Сернур, адрес., МАССР, зарегистрированного по адресу: адрес, 12,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фио, являясь руководителем ООО «Производственно-технологическая наименование организации, расположенного по адресу: адрес,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девять месяцев дата. </w:t>
      </w:r>
    </w:p>
    <w:p w:rsidR="00A77B3E">
      <w:r>
        <w:t>фио в судебное заседание не явилась,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 дата является  дата. Фактически сведения ЕФС-1 представлены ООО «Производственно-технологическая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664932 об административном правонарушении (л.д.3), форма ЕФС-1 (л.д.11), выписку ЕГРЮЛ (л.д. 12-15)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Общества с ограниченной ответственностью «Производственно-технологическая наименование организации фио,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79791012003250095154, назначение платежа – административный штраф от              фио по решению № 05-0281/9/2025, протокол № 664932).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