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05-0302/9/2024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главного бухгалтера наименование организации (адрес, каб.423) фио, паспортные данные телефон,</w:t>
      </w:r>
    </w:p>
    <w:p w:rsidR="00A77B3E">
      <w:r>
        <w:t xml:space="preserve">установил: </w:t>
      </w:r>
    </w:p>
    <w:p w:rsidR="00A77B3E">
      <w:r>
        <w:t>фио – главный бухгалтер наименование организации не представила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№15-08/7347 от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ходатайствовала о рассмотрении дела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 xml:space="preserve">Требование направлено в адрес наименование организации дата по почте заказным письмом, вручено адресату дата.  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 15/20029 от дата об обнаружении фактов, свидетельствующих о предусмотренных Налоговым кодексом Российской Федерации налоговых правонарушениях (л.д. 14-16), копию требования №15-08/7347 от дата (л.д. 18-19), поручение №364 от дата (л.д. 24-25), выписку из ЕГРЮЛ (л.д.26-31),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главного бухгалтера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0410760300095003022415151.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