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05-0334/9/2025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исполнительного директора «Ассоциации ветеранов специальной военной операции адрес» (адрес) фио,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исполнительный директор «Ассоциации ветеранов специальной военной операции адрес»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полугодие дата.</w:t>
      </w:r>
    </w:p>
    <w:p w:rsidR="00A77B3E">
      <w:r>
        <w:t>фио в судебном заседании вину признал, с нарушением согласился, ходатайствовал о замене административного штрафа предупреждением.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 дата является  дата. Фактически сведения ЕФС-1 представлены                                              «Ассоциацией ветеранов специальной военной операции адрес»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782579 (л.д.1), копию выписки из ЕГРЮЛ (л.д. 8-9); копию формы ЕФС-1 (л.д. 11),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15.33 КоАП РФ.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исполнительного директора «Ассоциацией ветеранов специальной военной операции адрес»            фио к административной ответственности за нарушение пенсионного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исполнительного директора «Ассоциации ветеранов специальной военной операции адрес» (адрес) фио, признать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