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05-0486/9/2026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>дата</w:t>
        <w:tab/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при участии защитника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Защитник фио в судебном заседании фактические обстоятельства по делу не оспаривал, ходатайствовал о замене административного штрафа предупреждением.</w:t>
      </w:r>
    </w:p>
    <w:p w:rsidR="00A77B3E">
      <w:r>
        <w:t>Заслушав защитника, 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091S20260000570 (л.д.1-3), копии уведомления об устранении ошибок (л.д. 7-8), выписку из ЕГРЮЛ (л.д. 17-25),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