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05-0552/9/2025</w:t>
      </w:r>
    </w:p>
    <w:p w:rsidR="00A77B3E">
      <w:r>
        <w:t xml:space="preserve">                                                                                      УИД 91MS0012-телефон-телефон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лит. А, офис 1) фио, паспортные данные, зарегистрированного и паспортные данные телефон,</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налогу на прибыль за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дата – не позднее дата.</w:t>
      </w:r>
    </w:p>
    <w:p w:rsidR="00A77B3E">
      <w:r>
        <w:t>Первичная налоговая декларация по налогу на прибыль за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(л.д.2-3), копию квитанцию о приеме налоговой декларации (л.д. 5), копию налоговой декларации (л.д. 6),  выписку из ЕГРЮЛ (л.д. 12-13),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0410760300095005522515136.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