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05-0621/9/2023 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>Мировой судья судебного участка № 9 Киевского судебного района адрес фио, 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наименование организации (ИНН ...), паспортные данные,</w:t>
      </w:r>
    </w:p>
    <w:p w:rsidR="00A77B3E">
      <w:r>
        <w:t xml:space="preserve">                                                            установил:  </w:t>
      </w:r>
    </w:p>
    <w:p w:rsidR="00A77B3E">
      <w:r>
        <w:t>наименование организации дата представила в отдел по вопросам трудовой миграции УВМ МВД по адрес по адресу: адрес, уведомление о прекращении (расторжении) трудового договора с гражданкой адрес со сведениями основного вида экономической деятельности в соответствии с ОКВЭД в искаженном виде.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п. 4 Порядка подачи работодателями или заказчиками работ (услуг) уведомлений о заключении и прекращении (расторжении) трудового договора или гражданско-правового договора на выполнение работ (оказание услуг) с иностранным гражданином (лицом без гражданства), утвержденного утвержден приказом МВД России от дата № 536, в уведомлениях о заключении и прекращении трудового договора должны быть заполнены все соответствующие поля.</w:t>
      </w:r>
    </w:p>
    <w:p w:rsidR="00A77B3E">
      <w:r>
        <w:t>наименование организации дата представила в отдел по вопросам трудовой миграции УВМ МВД по адрес по адресу:                         адрес, уведомление о прекращении трудового договора с гражданкой адрес со сведениями основного вида экономической деятельности в соответствии с ОКВЭД в искаженном виде, а именно с указанием кода по ОКВЭД 52.26 вместо кода 47.26.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№ 1185 от дата (л.д.1), объяснение        (л.д. 3),  к/свидетельства ОГРНИП, к/уведомления о расторжении трудового договора                (л.д. 6), выписку из ЕГРЮЛ (л.д. 7-8), а также иные документы, как надлежащие доказательства.</w:t>
      </w:r>
    </w:p>
    <w:p w:rsidR="00A77B3E">
      <w:r>
        <w:t>Таким образом, прихожу к выводу, что материалами дела об административном правонарушении доказано, что наименование организации совершила административное правонарушение, ответственность за которое предусмотрена статьей 19.7 КоАП РФ.</w:t>
      </w:r>
    </w:p>
    <w:p w:rsidR="00A77B3E">
      <w:r>
        <w:t>При назначении наказания учитывается характер совершенного правонарушения,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наименование организации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наименование организации виновной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ей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