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05-0659/9/2025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 xml:space="preserve"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Сабрие Рифадовны, паспортные данные УССР, ОГРНИП 32291120081730,  ИНН 910202666644,  </w:t>
      </w:r>
    </w:p>
    <w:p w:rsidR="00A77B3E">
      <w:r>
        <w:t xml:space="preserve">                                                            установил:  </w:t>
      </w:r>
    </w:p>
    <w:p w:rsidR="00A77B3E">
      <w:r>
        <w:t>наименование организации в срок до дата не представила в Керченское ТО ГАДН Межрегионального ТУ МТУ Ространснадзора по ЮФО информацию о принятых мерах для устранения причин и условий, способствовавших совершению административного правонарушения согласно представления от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ч.2 ст. 29.13 КоАП РФ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№ 822520429 от дата (л.д.2-3), к/постановления от дата (л.д. 8-11), к/представления от дата            (л.д. 12), выписку ЕГРИП (л.д. 17), а также иные документы,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наименование организации совершила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в том числе характере правонарушений, в связи с которыми было вынесено представление,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Сабрие Рифадовну виновной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ей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0410760300095006592519143.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