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05-0722/9/2025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адресу: адрес., адрес,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 адрес, не имея права управления транспортным средством, управлял автомобилем «Шевроле Круз» с государственным регистрационным знаком «Н936ХТ702», с признаком опьянения –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явилось резкое изменение окраски кожных покровов лица, что согласуется с пунктом 2 Правил и отражено в протоколе об отстранении от управления транспортным средством от дата серия 82ОТ № 081901 (л.д.3).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последней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(л.д.9).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 № 308342 об административном правонарушении (л.д.1), протокол от дата серии 82ОТ № 081901 об отстранении от управления транспортным средством (л.д.3), протокол от дата серия 82МО № 026812 о направлении на медицинское освидетельствование на состояние опьянения (л.д.4), протокол от дата серии 82ПЗ № 087684 о задержании т/с (л.д. 5), справку (л.д. 9), сведения о правонарушениях (л.д. 14-15), видеозапись (л.д. 16),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Чащихина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Срок исполнения административного ареста исчислять с момента фактического задержания.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