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05-0857/9/2022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наименование организации (далее - ООО «Альтаир»), место нахождения (адрес) юридического лица: адрес, пом. ..., ИНН телефон, КПП 910201001, дата государственной регистрации дата,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наименование организации в установленный срок, а именно до дата, не выполнило законное предписание Крымской таможни от дата  № 10321000_120822_010,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представитель ООО «Альтаир» не явился, о дате, месте и времени судебного заседания юридическое лицо извещалось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10321000-000715/2022 об административном правонарушении (л.д.1-6), копию уведомления о вручении (л.д. 9), копию предписания от дата                    № 10321000_110822_010 (л.д. 10-15), копию служебной записки (л.д. 29), выписку из ЕГРЮЛ (л.д. 30-38), сведения из ЕРСМП (л.д. 39-40),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дата включено в реестр субъектов малого и среднего предпринимательств, отсутствие обстоятельств, смягчающих административную ответственность, повторность совершения правонарушения в качестве обстоятельства, отягчающего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0410760300095008572219142.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