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05-0866/9/2022           </w:t>
      </w:r>
    </w:p>
    <w:p w:rsidR="00A77B3E">
      <w:r>
        <w:t>ПОСТАНОВЛЕНИЕ</w:t>
      </w:r>
    </w:p>
    <w:p w:rsidR="00A77B3E">
      <w:r>
        <w:t>22 декабря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фио, паспортные данные ..., паспортные данные ..., код подразделения: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... в установленный срок, а именно до дата, не выполнил законное предписание Крымской таможни от дата № 10321000_120822_016,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...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10321000-000728/2022 об административном правонарушении (л.д.1-7), копию уведомления о вручении (л.д. 10), копию предписания от дата                      № 10321000_0120822_016 (л.д. 11-16), копию служебной записки (л.д. 30), копии приказов (л.д. 33,34), копию устава (35-36), выписку из ЕГРЮЛ (л.д. 37-45), выписку ЕРСМСП (л.д.46-47),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...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...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фио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0410760300095008662219172.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