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5-90-300/2017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фио,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АНТОНЕНКО АНТОНА МИХАЙЛОВИЧА, паспортные данные, работающего председателем правления ...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Антоненко А.М.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Антоненко А.М., являясь председателем правления ...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полугодие дата. Срок предоставления расчета сумм налога на доходы физических лиц, исчисленных и удержанных налоговым агентом за полугодие дата - не позднее последнего дня месяца, следующего за соответствующим периодом, а именно не позднее дата, фактически расчет сумм налога на доходы физических лиц, исчисленных и удержанных налоговым агентом за полугодие дата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Антоненко А.М.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Антоненко А.М.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Антоненко А.М.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(л.д.5-6).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Антоненко А.М.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Антоненко А.М.,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Антоненко А.М.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АНТОНЕНКО АНТОНА МИХАЙЛОВИЧА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Антоненко А.М.,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