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Крым,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об административном правонарушении в его отсутствие.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Казанцеву В.В.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Казанцеву В.В.,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