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5-90-634/2017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ПРОЦЬКО ЕЛИЗАВЕТЫ АЛЕКСАНДРОВНЫ, паспортные данные, гражданки Российской Федерации, пенсионерки, семейное положение, имеющей на иждивении двоих несовершеннолетних внучек, год рождения, год рождения,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Процько</w:t>
      </w:r>
      <w:r>
        <w:t xml:space="preserve"> Е.А.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Процько</w:t>
      </w:r>
      <w:r>
        <w:t xml:space="preserve"> Е.А., являясь должность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4 квартал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4 квартал дата – не позднее дата. Фактически Декларация по налогу на добавленную стоимость за 4 квартал дата предоставлена дата – с нарушением срока предоставления.</w:t>
      </w:r>
    </w:p>
    <w:p w:rsidR="00A77B3E">
      <w:r>
        <w:t>Процько</w:t>
      </w:r>
      <w:r>
        <w:t xml:space="preserve"> Е.А. в судебном заседании вину в инкриминируемом правонарушении не признала и пояснила, что работала в должности должность наименование организации с дата по дата, штатной единицей бухгалтера не было предусмотрено, она была единственным работником учреждения. дата между наименование организации и наименование организации был заключен договор о предоставлении услуг по ведению бухгалтерского учета, в том числе составление налоговой отчетности. Согласно </w:t>
      </w:r>
      <w:r>
        <w:t>п.п</w:t>
      </w:r>
      <w:r>
        <w:t xml:space="preserve">. 1.2, 3.2 наименование организации взял на себя </w:t>
      </w:r>
      <w:r>
        <w:t xml:space="preserve">обязательства по ведению и подаче налоговой отчетности наименование организации. При этом она обеспечила своевременное предоставление сведений наименование организации для формирования отчетности. Считает, что не является субъектом вменяемого административного правонарушения.  </w:t>
      </w:r>
    </w:p>
    <w:p w:rsidR="00A77B3E">
      <w:r>
        <w:t xml:space="preserve">Суд, исследовав материалы дела, считает вину </w:t>
      </w:r>
      <w:r>
        <w:t>Процько</w:t>
      </w:r>
      <w:r>
        <w:t xml:space="preserve"> Е.А.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Процько</w:t>
      </w:r>
      <w:r>
        <w:t xml:space="preserve"> Е.А.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номер от дата (л.д.1-2);</w:t>
      </w:r>
    </w:p>
    <w:p w:rsidR="00A77B3E">
      <w:r>
        <w:t>- выпиской из ЕГРЮЛ (л.д.3-5);</w:t>
      </w:r>
    </w:p>
    <w:p w:rsidR="00A77B3E">
      <w:r>
        <w:t>- распоряжением главы Администрации адрес от дата № номер сущность приказа (л.д.6);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этом, суд считает несостоятельной позицию </w:t>
      </w:r>
      <w:r>
        <w:t>Процько</w:t>
      </w:r>
      <w:r>
        <w:t xml:space="preserve"> Е.А. о том, что ее вина в совершении инкриминируемого правонарушения отсутствует, поскольку между наименование организации и наименование организации был заключен договор о предоставлении услуг по ведению бухгалтерского учета, в том числе составление налоговой отчетности.</w:t>
      </w:r>
    </w:p>
    <w:p w:rsidR="00A77B3E">
      <w:r>
        <w:t xml:space="preserve">Как указано в </w:t>
      </w:r>
      <w:r>
        <w:t>п.п</w:t>
      </w:r>
      <w:r>
        <w:t>. 24, 26 Постановления Пленума Верховного Суда РФ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>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РФ, поскольку в соответствии со статьями 6 и 18 Федерального закона от 21 ноября 1996 г. N 129-ФЗ «О бухгалтерском учете» именно он несет ответственность за организацию бухгалтерского учета.</w:t>
      </w:r>
    </w:p>
    <w:p w:rsidR="00A77B3E">
      <w:r>
        <w:t xml:space="preserve">Таким образом, вина </w:t>
      </w:r>
      <w:r>
        <w:t>Процько</w:t>
      </w:r>
      <w:r>
        <w:t xml:space="preserve"> Е.А.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Процько</w:t>
      </w:r>
      <w:r>
        <w:t xml:space="preserve"> Е.А. суд признает нахождение на ее иждивении двоих несовершеннолетних внучек, год рождения, год рождения, обстоятельств, отягчающих административную ответственность, судом не установлено.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а также личности лица, в отношении которого ведется производство по делу об административном правонарушении, которая является пенсионером, совершила административное правонарушение впервые,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ПРОЦЬКО ЕЛИЗАВЕТУ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Г.А. Ярошенко</w:t>
      </w:r>
    </w:p>
    <w:p w:rsidR="00A77B3E"/>
    <w:p w:rsidR="006C289F" w:rsidP="006C289F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6C289F" w:rsidP="006C289F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6C289F" w:rsidP="006C289F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6C289F" w:rsidP="006C289F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9B2F42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9B2F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9B2F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9B2F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9B2F4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9B2F42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6C289F" w:rsidRPr="009B2F42" w:rsidP="006C289F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9B2F42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9B2F42" w:rsidP="006C289F">
      <w:pPr>
        <w:tabs>
          <w:tab w:val="left" w:pos="6090"/>
        </w:tabs>
        <w:ind w:left="5387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9B2F42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D074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D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