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5-90-791/2017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«29»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ВИННИК АЛЕКСАНДРА ВИКТОРОВИЧА,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Винник А.В.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Винник А.В., являясь настоятелем ...»,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... предоставлены дата, то есть с нарушением срока предоставления.</w:t>
      </w:r>
    </w:p>
    <w:p w:rsidR="00A77B3E">
      <w:r>
        <w:t>Винник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Винник А.В.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Винник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сведениями о среднесписочной численности работников за предшествующий год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Винник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Винник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ВИННИК АЛЕКСАНДРА ВИКТОРОВИЧА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Винник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