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5-91-20/2026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адрес, гражданина Российской Федерации,  паспортные данные,  дата выдачи дата, код подразделения телефон, работающего в должности президента РФСОО «ФЕДЕРАЦИЯ ПЕРЕТЯГИВАНИЯ КАНАТА адрес», юридический адрес: адрес, адрес, и проживающего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президентом РФСОО «ФЕДЕРАЦИЯ ПЕРЕТЯГИВАНИЯ КАНАТА адрес», юридический адрес: адрес, адрес, совершил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6 месяцев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 xml:space="preserve">В судебное заседание фио, не явился, уведомлен  надлежащим образом о времени и месте слушания, об уважительности причин неявки не сообщил, заявлений либо ходатайств не поступало.   </w:t>
      </w:r>
    </w:p>
    <w:p w:rsidR="00A77B3E">
      <w:r>
        <w:t xml:space="preserve">Суд, исследовав материалы дела, считает вину фио в совершении им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91082534200162200001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Учитывая характер совершенного правонарушения, личность лица, привлекаемого к административной ответственности,  отсутствие  обстоятельств  отягчающих и смягчающих  административную ответственность, и считаю возможным назначить  административное наказание, предусмотренное санкцией ч. 1 ст. 15.6 КоАП РФ, в виде административного штрафа минимального размера, оснований для применения положений ст. 4.1.1 КоАП РФ суд не установил.</w:t>
      </w:r>
    </w:p>
    <w:p w:rsidR="00A77B3E">
      <w:r>
        <w:t>На основании изложенного, руководствуясь ст. ст. 3.4,  15.6 ч. 1, 29.9, 29.10 КоАП РФ мировой судья,-</w:t>
      </w:r>
    </w:p>
    <w:p w:rsidR="00A77B3E">
      <w:r>
        <w:t>ПОСТАНОВИЛ:</w:t>
      </w:r>
    </w:p>
    <w:p w:rsidR="00A77B3E"/>
    <w:p w:rsidR="00A77B3E">
      <w:r>
        <w:t xml:space="preserve"> Должностное лицо - президента РФСОО «ФЕДЕРАЦИЯ ПЕРЕТЯГИВАНИЯ КАНАТА адрес» - фио, признать виновным  в совершении административного правонарушения, предусмотренного ч. 1  ст. 15.6  Кодекса РФ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          Административный штраф подлежит уплате   на следующие реквизиты: Получатель: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03100643350000017500, Лицевой счет  телефон в УФК по  адрес, Код Сводного реестра телефон, ОКТМО телефон,  КБК телефон телефон, УИН  0410760300915005732515174.</w:t>
      </w:r>
    </w:p>
    <w:p w:rsidR="00A77B3E">
      <w:r>
        <w:t xml:space="preserve">           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