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5-91-119/2026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18810582251030005708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18810582251030005708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82 АП № 332152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0410760300915001192620179.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