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5-91-204/2026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дата выдачи дата, зарегистрированного и проживающего по адресу: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 дата время, т.е. 60-дневный срок с момента вступления в законную силу постановления  № 18810582250814200082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а также пояснил, что ранее, по устной договоренности, передал транспортное средство третьему лицу, который должен был отремонтировать и выкупить впоследствии данный автомобиль. Однако транспортное средство не было отремонтировано, и выкуплено у фио Кроме того, судебный приставы-исполнители арестовали счета фио, и списали денежные средства около сумма, в счет погашения имеющихся штрафов. Однако на момент составления протоколом об административных правонарушениях действительно оставалось не оплачено еще 4 штрафа, в настоящее время еще два штрафа оплачено, и фио намерен оплатить оставшиеся штрафы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18810582250814200082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313265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УИН0410760300915002042620123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