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5-91-248/2026 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 дата выдачи дата, зарегистрированного по адресу: адрес, адрес, в/ч,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адресу: адрес, адрес, в/ч,   дата  в время, т.е. 60-дневный срок с момента вступления в законную силу постановления  № 0125342533703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2.1 ст. 10.9 Закона адрес от дата № 45 «Кодекс адрес об административных правонарушениях»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 материалами дела:</w:t>
      </w:r>
    </w:p>
    <w:p w:rsidR="00A77B3E">
      <w:r>
        <w:t xml:space="preserve">        - постановлением № 0125342533703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2.1 ст. 10.9 Закона адрес от дата № 45 «Кодекс адрес об административных правонарушениях» в отношении фио,  </w:t>
      </w:r>
    </w:p>
    <w:p w:rsidR="00A77B3E">
      <w:r>
        <w:t>- протоколом об административном правонарушении № ССС0549596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Неустранимых сомнений, которые бы в силу ст.1.5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 xml:space="preserve">      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0410760300915002482620100.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 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      /подпись/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