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4434E" w:rsidRPr="00ED6EC2" w:rsidP="00551576">
      <w:pPr>
        <w:ind w:left="7088"/>
        <w:rPr>
          <w:bCs/>
          <w:sz w:val="20"/>
          <w:szCs w:val="20"/>
        </w:rPr>
      </w:pPr>
      <w:r w:rsidRPr="00ED6EC2">
        <w:rPr>
          <w:bCs/>
          <w:sz w:val="20"/>
          <w:szCs w:val="20"/>
        </w:rPr>
        <w:t>Дело №5-</w:t>
      </w:r>
      <w:r w:rsidRPr="00ED6EC2" w:rsidR="00331A4B">
        <w:rPr>
          <w:bCs/>
          <w:sz w:val="20"/>
          <w:szCs w:val="20"/>
        </w:rPr>
        <w:t>9</w:t>
      </w:r>
      <w:r w:rsidRPr="00ED6EC2" w:rsidR="0091592F">
        <w:rPr>
          <w:bCs/>
          <w:sz w:val="20"/>
          <w:szCs w:val="20"/>
        </w:rPr>
        <w:t>7</w:t>
      </w:r>
      <w:r w:rsidRPr="00ED6EC2" w:rsidR="00331A4B">
        <w:rPr>
          <w:bCs/>
          <w:sz w:val="20"/>
          <w:szCs w:val="20"/>
        </w:rPr>
        <w:t>-</w:t>
      </w:r>
      <w:r w:rsidRPr="00ED6EC2" w:rsidR="00E60729">
        <w:rPr>
          <w:bCs/>
          <w:sz w:val="20"/>
          <w:szCs w:val="20"/>
        </w:rPr>
        <w:t>2</w:t>
      </w:r>
      <w:r w:rsidRPr="00ED6EC2" w:rsidR="00A0608B">
        <w:rPr>
          <w:bCs/>
          <w:sz w:val="20"/>
          <w:szCs w:val="20"/>
        </w:rPr>
        <w:t>71</w:t>
      </w:r>
      <w:r w:rsidRPr="00ED6EC2">
        <w:rPr>
          <w:bCs/>
          <w:sz w:val="20"/>
          <w:szCs w:val="20"/>
        </w:rPr>
        <w:t>/2017</w:t>
      </w:r>
    </w:p>
    <w:p w:rsidR="0024434E" w:rsidRPr="00ED6EC2" w:rsidP="0024434E">
      <w:pPr>
        <w:pStyle w:val="Heading1"/>
        <w:rPr>
          <w:rFonts w:ascii="Times New Roman" w:hAnsi="Times New Roman"/>
          <w:sz w:val="28"/>
          <w:szCs w:val="28"/>
          <w:lang w:val="ru-RU"/>
        </w:rPr>
      </w:pPr>
      <w:r w:rsidRPr="00ED6EC2">
        <w:rPr>
          <w:rFonts w:ascii="Times New Roman" w:hAnsi="Times New Roman"/>
          <w:sz w:val="28"/>
          <w:szCs w:val="28"/>
          <w:lang w:val="ru-RU"/>
        </w:rPr>
        <w:t>ПОСТАНОВЛЕНИЕ</w:t>
      </w:r>
    </w:p>
    <w:p w:rsidR="00B753CC" w:rsidRPr="00ED6EC2" w:rsidP="00B753CC">
      <w:pPr>
        <w:jc w:val="center"/>
        <w:rPr>
          <w:b/>
        </w:rPr>
      </w:pPr>
      <w:r w:rsidRPr="00ED6EC2">
        <w:rPr>
          <w:b/>
        </w:rPr>
        <w:t>по делу об административном правонарушении</w:t>
      </w:r>
    </w:p>
    <w:p w:rsidR="0024434E" w:rsidRPr="00ED6EC2" w:rsidP="0024434E">
      <w:pPr>
        <w:pStyle w:val="Heading1"/>
        <w:rPr>
          <w:sz w:val="20"/>
          <w:szCs w:val="20"/>
          <w:lang w:val="ru-RU"/>
        </w:rPr>
      </w:pPr>
    </w:p>
    <w:p w:rsidR="0024434E" w:rsidRPr="00ED6EC2" w:rsidP="0024434E">
      <w:pPr>
        <w:autoSpaceDE w:val="0"/>
        <w:autoSpaceDN w:val="0"/>
        <w:ind w:firstLine="570"/>
        <w:jc w:val="both"/>
        <w:rPr>
          <w:bCs/>
        </w:rPr>
      </w:pPr>
      <w:r w:rsidRPr="00ED6EC2">
        <w:rPr>
          <w:bCs/>
        </w:rPr>
        <w:t>16</w:t>
      </w:r>
      <w:r w:rsidRPr="00ED6EC2" w:rsidR="00ED6EC2">
        <w:rPr>
          <w:bCs/>
        </w:rPr>
        <w:t xml:space="preserve"> </w:t>
      </w:r>
      <w:r w:rsidRPr="00ED6EC2">
        <w:rPr>
          <w:bCs/>
        </w:rPr>
        <w:t>августа</w:t>
      </w:r>
      <w:r w:rsidRPr="00ED6EC2">
        <w:rPr>
          <w:bCs/>
        </w:rPr>
        <w:t xml:space="preserve"> 2017 года </w:t>
      </w:r>
      <w:r w:rsidRPr="00ED6EC2">
        <w:rPr>
          <w:bCs/>
        </w:rPr>
        <w:tab/>
      </w:r>
      <w:r w:rsidRPr="00ED6EC2">
        <w:rPr>
          <w:bCs/>
        </w:rPr>
        <w:tab/>
      </w:r>
      <w:r w:rsidRPr="00ED6EC2" w:rsidR="00ED6EC2">
        <w:rPr>
          <w:bCs/>
        </w:rPr>
        <w:tab/>
      </w:r>
      <w:r w:rsidRPr="00ED6EC2" w:rsidR="00ED6EC2">
        <w:rPr>
          <w:bCs/>
        </w:rPr>
        <w:tab/>
      </w:r>
      <w:r w:rsidRPr="00ED6EC2">
        <w:rPr>
          <w:bCs/>
        </w:rPr>
        <w:tab/>
      </w:r>
      <w:r w:rsidRPr="00ED6EC2">
        <w:rPr>
          <w:bCs/>
        </w:rPr>
        <w:tab/>
      </w:r>
      <w:r w:rsidRPr="00ED6EC2">
        <w:rPr>
          <w:bCs/>
        </w:rPr>
        <w:tab/>
        <w:t>г. Ялта</w:t>
      </w:r>
    </w:p>
    <w:p w:rsidR="0024434E" w:rsidRPr="00ED6EC2" w:rsidP="0024434E">
      <w:pPr>
        <w:autoSpaceDE w:val="0"/>
        <w:autoSpaceDN w:val="0"/>
        <w:ind w:firstLine="570"/>
        <w:jc w:val="both"/>
        <w:rPr>
          <w:bCs/>
          <w:sz w:val="16"/>
          <w:szCs w:val="16"/>
        </w:rPr>
      </w:pPr>
    </w:p>
    <w:p w:rsidR="0024434E" w:rsidRPr="00ED6EC2" w:rsidP="00A0608B">
      <w:pPr>
        <w:ind w:firstLine="570"/>
        <w:jc w:val="both"/>
      </w:pPr>
      <w:r w:rsidRPr="00ED6EC2">
        <w:t>Мировой судья судебного участка №9</w:t>
      </w:r>
      <w:r w:rsidRPr="00ED6EC2" w:rsidR="00F01B6C">
        <w:t>7</w:t>
      </w:r>
      <w:r w:rsidRPr="00ED6EC2" w:rsidR="00ED6EC2">
        <w:t xml:space="preserve"> </w:t>
      </w:r>
      <w:r w:rsidRPr="00ED6EC2">
        <w:t xml:space="preserve">Ялтинского судебного района (городской округ Ялта) </w:t>
      </w:r>
      <w:r w:rsidRPr="00ED6EC2" w:rsidR="00E9597B">
        <w:t xml:space="preserve">Алтунин А.В. </w:t>
      </w:r>
      <w:r w:rsidRPr="00ED6EC2">
        <w:t xml:space="preserve">(Республика Крым, г. Ялта, ул. Васильева, 19), </w:t>
      </w:r>
      <w:r w:rsidRPr="00ED6EC2" w:rsidR="00F6438A">
        <w:t>изучив</w:t>
      </w:r>
      <w:r w:rsidRPr="00ED6EC2">
        <w:t xml:space="preserve"> дело об административном правонарушении, поступившее </w:t>
      </w:r>
      <w:r w:rsidRPr="00ED6EC2" w:rsidR="00A0608B">
        <w:t>из отдела надзорной деятельности по г.Ялте УНД и ПР ГУ МЧС России по Республике Крым, в отношении</w:t>
      </w:r>
    </w:p>
    <w:p w:rsidR="004B2CA2" w:rsidRPr="00ED6EC2" w:rsidP="00A0608B">
      <w:pPr>
        <w:autoSpaceDE w:val="0"/>
        <w:autoSpaceDN w:val="0"/>
        <w:adjustRightInd w:val="0"/>
        <w:spacing w:before="120"/>
        <w:ind w:firstLine="573"/>
        <w:jc w:val="both"/>
      </w:pPr>
      <w:r w:rsidRPr="00ED6EC2">
        <w:t xml:space="preserve">Тенищева </w:t>
      </w:r>
      <w:r w:rsidRPr="00ED6EC2" w:rsidR="00ED6EC2">
        <w:t>В.Н.</w:t>
      </w:r>
      <w:r w:rsidRPr="00ED6EC2">
        <w:t xml:space="preserve">, </w:t>
      </w:r>
      <w:r w:rsidRPr="00ED6EC2" w:rsidR="00ED6EC2">
        <w:t>«ПЕРСОНАЛЬНЫЕ ДАННЫЕ»</w:t>
      </w:r>
      <w:r w:rsidRPr="00ED6EC2">
        <w:t>»</w:t>
      </w:r>
      <w:r w:rsidRPr="00ED6EC2" w:rsidR="00D33CF7">
        <w:t xml:space="preserve">, </w:t>
      </w:r>
    </w:p>
    <w:p w:rsidR="0024434E" w:rsidRPr="00ED6EC2" w:rsidP="00B753CC">
      <w:pPr>
        <w:ind w:firstLine="573"/>
        <w:jc w:val="both"/>
        <w:rPr>
          <w:iCs/>
        </w:rPr>
      </w:pPr>
      <w:r w:rsidRPr="00ED6EC2">
        <w:rPr>
          <w:iCs/>
        </w:rPr>
        <w:t xml:space="preserve">по </w:t>
      </w:r>
      <w:r w:rsidRPr="00ED6EC2" w:rsidR="0091592F">
        <w:rPr>
          <w:iCs/>
        </w:rPr>
        <w:t>ч.1</w:t>
      </w:r>
      <w:r w:rsidRPr="00ED6EC2" w:rsidR="00A0608B">
        <w:rPr>
          <w:iCs/>
        </w:rPr>
        <w:t>2</w:t>
      </w:r>
      <w:r w:rsidRPr="00ED6EC2">
        <w:rPr>
          <w:iCs/>
        </w:rPr>
        <w:t>ст.19.</w:t>
      </w:r>
      <w:r w:rsidRPr="00ED6EC2" w:rsidR="0091592F">
        <w:rPr>
          <w:iCs/>
        </w:rPr>
        <w:t>5</w:t>
      </w:r>
      <w:r w:rsidRPr="00ED6EC2">
        <w:rPr>
          <w:iCs/>
        </w:rPr>
        <w:t xml:space="preserve"> Кодекса Российской Федерации об административных правонарушениях (далее - </w:t>
      </w:r>
      <w:r w:rsidRPr="00ED6EC2">
        <w:t>КоАП РФ)</w:t>
      </w:r>
      <w:r w:rsidRPr="00ED6EC2">
        <w:rPr>
          <w:iCs/>
        </w:rPr>
        <w:t>,</w:t>
      </w:r>
    </w:p>
    <w:p w:rsidR="0024434E" w:rsidRPr="00ED6EC2" w:rsidP="0024434E">
      <w:pPr>
        <w:ind w:firstLine="570"/>
        <w:jc w:val="both"/>
      </w:pPr>
    </w:p>
    <w:p w:rsidR="00882906" w:rsidRPr="00ED6EC2" w:rsidP="00882906">
      <w:pPr>
        <w:pStyle w:val="BodyText"/>
        <w:jc w:val="center"/>
        <w:rPr>
          <w:b/>
          <w:lang w:val="ru-RU"/>
        </w:rPr>
      </w:pPr>
      <w:r w:rsidRPr="00ED6EC2">
        <w:rPr>
          <w:b/>
          <w:lang w:val="ru-RU"/>
        </w:rPr>
        <w:t>УСТАНОВИЛ:</w:t>
      </w:r>
    </w:p>
    <w:p w:rsidR="00B753CC" w:rsidRPr="00ED6EC2" w:rsidP="00882906">
      <w:pPr>
        <w:pStyle w:val="BodyText"/>
        <w:jc w:val="center"/>
        <w:rPr>
          <w:b/>
          <w:lang w:val="ru-RU"/>
        </w:rPr>
      </w:pPr>
    </w:p>
    <w:p w:rsidR="008C6470" w:rsidRPr="00ED6EC2" w:rsidP="008C6470">
      <w:pPr>
        <w:autoSpaceDE w:val="0"/>
        <w:autoSpaceDN w:val="0"/>
        <w:adjustRightInd w:val="0"/>
        <w:ind w:firstLine="570"/>
        <w:jc w:val="both"/>
      </w:pPr>
      <w:r w:rsidRPr="00ED6EC2">
        <w:rPr>
          <w:rFonts w:eastAsia="SimSun"/>
          <w:lang w:eastAsia="zh-CN"/>
        </w:rPr>
        <w:t xml:space="preserve">Тенищев В.Н., </w:t>
      </w:r>
      <w:r w:rsidRPr="00ED6EC2" w:rsidR="00D33CF7">
        <w:rPr>
          <w:rFonts w:eastAsia="SimSun"/>
          <w:lang w:eastAsia="zh-CN"/>
        </w:rPr>
        <w:t>являясь</w:t>
      </w:r>
      <w:r w:rsidRPr="00ED6EC2" w:rsidR="00ED6EC2">
        <w:rPr>
          <w:rFonts w:eastAsia="SimSun"/>
          <w:lang w:eastAsia="zh-CN"/>
        </w:rPr>
        <w:t xml:space="preserve"> </w:t>
      </w:r>
      <w:r w:rsidRPr="00ED6EC2">
        <w:t>инженером противопожарной безопасности «</w:t>
      </w:r>
      <w:r w:rsidRPr="00ED6EC2" w:rsidR="00ED6EC2">
        <w:t>НАЗВАНИЕ</w:t>
      </w:r>
      <w:r w:rsidRPr="00ED6EC2">
        <w:t xml:space="preserve">», зарегистрированного по </w:t>
      </w:r>
      <w:r w:rsidRPr="00ED6EC2" w:rsidR="00ED6EC2">
        <w:t>«АДРЕС»</w:t>
      </w:r>
      <w:r w:rsidRPr="00ED6EC2">
        <w:t>,</w:t>
      </w:r>
      <w:r w:rsidRPr="00ED6EC2" w:rsidR="00BB694E">
        <w:rPr>
          <w:rFonts w:eastAsia="SimSun"/>
          <w:lang w:eastAsia="zh-CN"/>
        </w:rPr>
        <w:t xml:space="preserve"> не </w:t>
      </w:r>
      <w:r w:rsidRPr="00ED6EC2">
        <w:t>выполнил</w:t>
      </w:r>
      <w:r w:rsidRPr="00ED6EC2" w:rsidR="00ED6EC2">
        <w:t xml:space="preserve"> </w:t>
      </w:r>
      <w:r w:rsidRPr="00ED6EC2">
        <w:t xml:space="preserve">предписание </w:t>
      </w:r>
      <w:r w:rsidRPr="00ED6EC2" w:rsidR="005C7F44">
        <w:t>отдела надзорной деятельности по г.Ялте УНД и ПР ГУ МЧС России по Республике Крым №75/1/1 от 17.04.2017 года об устранении нарушений в области пожарной безопасности в части пунктов 1, 2, 7, 10, 12, 15, 16, 20, 21, 28, 35, 37, 45, 48, 49, 54, 56, 57, 63, 65, 66, 76, 77, 78, 87, 88, 89, 97, 98, 99, 104, 106, 107, 112, 114, 115, 120, 122, 123, 128, 130, 131, 136, 138, 139, 144, 145, 146, 151, 152, 154, 156, 158, 159, 163, 167, 171, 172, 177, 178, 179, 182, 184, 185, 186, 187, 188, 189, 196, 197, 201, 203, 204, 209, 211, 213, 219, 220, 224, 230, 231, 235, 240, 241, 252, 253, 254, 260, 261, 262, 270, 271, 272, 276, 277, 281, 286, 291, 293, 298, 310, 314, 317, 319, 321, 324, 330, 331, 334, 335, 343, 345, 346, 351, 353, 357, 366, 370, 371, 372, 374, 375, 376, 378, 380 и 383,</w:t>
      </w:r>
      <w:r w:rsidRPr="00ED6EC2" w:rsidR="00ED6EC2">
        <w:t xml:space="preserve"> </w:t>
      </w:r>
      <w:r w:rsidRPr="00ED6EC2">
        <w:t>в срок, установленный данным предписанием</w:t>
      </w:r>
      <w:r w:rsidRPr="00ED6EC2" w:rsidR="00D33CF7">
        <w:t>,</w:t>
      </w:r>
      <w:r w:rsidRPr="00ED6EC2" w:rsidR="00E60729">
        <w:t xml:space="preserve">- </w:t>
      </w:r>
      <w:r w:rsidRPr="00ED6EC2">
        <w:t xml:space="preserve">до </w:t>
      </w:r>
      <w:r w:rsidRPr="00ED6EC2" w:rsidR="00546DEA">
        <w:t>17.05</w:t>
      </w:r>
      <w:r w:rsidRPr="00ED6EC2">
        <w:t>.201</w:t>
      </w:r>
      <w:r w:rsidRPr="00ED6EC2" w:rsidR="00E60729">
        <w:t>7</w:t>
      </w:r>
      <w:r w:rsidRPr="00ED6EC2">
        <w:t xml:space="preserve"> года</w:t>
      </w:r>
      <w:r w:rsidRPr="00ED6EC2" w:rsidR="00E74AF0">
        <w:t xml:space="preserve"> (п</w:t>
      </w:r>
      <w:r w:rsidRPr="00ED6EC2" w:rsidR="00C61737">
        <w:t xml:space="preserve">ункты </w:t>
      </w:r>
      <w:r w:rsidRPr="00ED6EC2" w:rsidR="00E74AF0">
        <w:t>7</w:t>
      </w:r>
      <w:r w:rsidRPr="00ED6EC2" w:rsidR="007F2852">
        <w:t>, 158, 189, 253</w:t>
      </w:r>
      <w:r w:rsidRPr="00ED6EC2" w:rsidR="00C61737">
        <w:t>, 310, 317, 370)</w:t>
      </w:r>
      <w:r w:rsidRPr="00ED6EC2" w:rsidR="00546DEA">
        <w:t xml:space="preserve"> и до 17.07.2017 года</w:t>
      </w:r>
      <w:r w:rsidRPr="00ED6EC2" w:rsidR="00C61737">
        <w:t xml:space="preserve"> (остальные пункты предписания),</w:t>
      </w:r>
      <w:r w:rsidRPr="00ED6EC2">
        <w:t xml:space="preserve"> чем </w:t>
      </w:r>
      <w:r w:rsidRPr="00ED6EC2">
        <w:rPr>
          <w:rFonts w:eastAsia="SimSun"/>
          <w:lang w:eastAsia="zh-CN"/>
        </w:rPr>
        <w:t>совершил правонарушение, предусмотренное ч.1</w:t>
      </w:r>
      <w:r w:rsidRPr="00ED6EC2">
        <w:rPr>
          <w:rFonts w:eastAsia="SimSun"/>
          <w:lang w:eastAsia="zh-CN"/>
        </w:rPr>
        <w:t>2</w:t>
      </w:r>
      <w:r w:rsidRPr="00ED6EC2">
        <w:t>ст.19.5</w:t>
      </w:r>
      <w:r w:rsidRPr="00ED6EC2" w:rsidR="00ED6EC2">
        <w:t xml:space="preserve"> </w:t>
      </w:r>
      <w:r w:rsidRPr="00ED6EC2">
        <w:rPr>
          <w:iCs/>
        </w:rPr>
        <w:t>КоАП РФ</w:t>
      </w:r>
      <w:r w:rsidRPr="00ED6EC2">
        <w:t>.</w:t>
      </w:r>
    </w:p>
    <w:p w:rsidR="00E60729" w:rsidRPr="00ED6EC2" w:rsidP="00E60729">
      <w:pPr>
        <w:autoSpaceDE w:val="0"/>
        <w:autoSpaceDN w:val="0"/>
        <w:adjustRightInd w:val="0"/>
        <w:ind w:firstLine="570"/>
        <w:jc w:val="both"/>
        <w:rPr>
          <w:rFonts w:eastAsia="SimSun"/>
          <w:lang w:eastAsia="zh-CN"/>
        </w:rPr>
      </w:pPr>
      <w:r w:rsidRPr="00ED6EC2">
        <w:rPr>
          <w:rFonts w:eastAsia="SimSun"/>
          <w:color w:val="000000" w:themeColor="text1"/>
          <w:lang w:eastAsia="zh-CN"/>
        </w:rPr>
        <w:t xml:space="preserve">В судебном заседании </w:t>
      </w:r>
      <w:r w:rsidRPr="00ED6EC2" w:rsidR="00C61737">
        <w:rPr>
          <w:rFonts w:eastAsia="SimSun"/>
          <w:lang w:eastAsia="zh-CN"/>
        </w:rPr>
        <w:t>Тенищев В.Н.</w:t>
      </w:r>
      <w:r w:rsidRPr="00ED6EC2">
        <w:rPr>
          <w:rFonts w:eastAsia="SimSun"/>
          <w:color w:val="000000" w:themeColor="text1"/>
          <w:lang w:eastAsia="zh-CN"/>
        </w:rPr>
        <w:t xml:space="preserve"> признал вину в совершении правонарушения.</w:t>
      </w:r>
    </w:p>
    <w:p w:rsidR="00E60729" w:rsidRPr="00ED6EC2" w:rsidP="00E60729">
      <w:pPr>
        <w:autoSpaceDE w:val="0"/>
        <w:autoSpaceDN w:val="0"/>
        <w:adjustRightInd w:val="0"/>
        <w:ind w:firstLine="570"/>
        <w:jc w:val="both"/>
        <w:rPr>
          <w:iCs/>
        </w:rPr>
      </w:pPr>
      <w:r w:rsidRPr="00ED6EC2">
        <w:rPr>
          <w:iCs/>
        </w:rPr>
        <w:t>Помимо признания вины, фактические обстоятельства  административного правонарушения подтверждаются следующими доказательствами: протоколом об административном правонарушении №</w:t>
      </w:r>
      <w:r w:rsidRPr="00ED6EC2" w:rsidR="00ED6EC2">
        <w:rPr>
          <w:iCs/>
        </w:rPr>
        <w:t xml:space="preserve"> «НОМЕР»</w:t>
      </w:r>
      <w:r w:rsidRPr="00ED6EC2">
        <w:rPr>
          <w:iCs/>
        </w:rPr>
        <w:t xml:space="preserve"> от </w:t>
      </w:r>
      <w:r w:rsidRPr="00ED6EC2" w:rsidR="00ED6EC2">
        <w:rPr>
          <w:iCs/>
        </w:rPr>
        <w:t>«ДАТА»</w:t>
      </w:r>
      <w:r w:rsidRPr="00ED6EC2">
        <w:rPr>
          <w:iCs/>
        </w:rPr>
        <w:t xml:space="preserve"> года; предписани</w:t>
      </w:r>
      <w:r w:rsidRPr="00ED6EC2" w:rsidR="008A74B6">
        <w:rPr>
          <w:iCs/>
        </w:rPr>
        <w:t>е</w:t>
      </w:r>
      <w:r w:rsidRPr="00ED6EC2">
        <w:rPr>
          <w:iCs/>
        </w:rPr>
        <w:t xml:space="preserve">м </w:t>
      </w:r>
      <w:r w:rsidRPr="00ED6EC2" w:rsidR="00C61737">
        <w:t xml:space="preserve">отдела надзорной деятельности по г.Ялте УНД и ПР ГУ МЧС России по Республике Крым </w:t>
      </w:r>
      <w:r w:rsidRPr="00ED6EC2" w:rsidR="00ED6EC2">
        <w:rPr>
          <w:iCs/>
        </w:rPr>
        <w:t xml:space="preserve">«НОМЕР» от «ДАТА» </w:t>
      </w:r>
      <w:r w:rsidRPr="00ED6EC2" w:rsidR="00C61737">
        <w:t>года об устранении нарушений в области пожарной безопасности</w:t>
      </w:r>
      <w:r w:rsidRPr="00ED6EC2">
        <w:rPr>
          <w:iCs/>
        </w:rPr>
        <w:t xml:space="preserve">; письменным объяснением </w:t>
      </w:r>
      <w:r w:rsidRPr="00ED6EC2" w:rsidR="00C61737">
        <w:rPr>
          <w:iCs/>
        </w:rPr>
        <w:t>Тенищева В.Н.</w:t>
      </w:r>
    </w:p>
    <w:p w:rsidR="00E60729" w:rsidRPr="00ED6EC2" w:rsidP="00E60729">
      <w:pPr>
        <w:autoSpaceDE w:val="0"/>
        <w:autoSpaceDN w:val="0"/>
        <w:adjustRightInd w:val="0"/>
        <w:ind w:firstLine="570"/>
        <w:jc w:val="both"/>
      </w:pPr>
      <w:r w:rsidRPr="00ED6EC2">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лица в совершении административного правонарушения.</w:t>
      </w:r>
    </w:p>
    <w:p w:rsidR="00BD592B" w:rsidRPr="00ED6EC2" w:rsidP="00BD592B">
      <w:pPr>
        <w:autoSpaceDE w:val="0"/>
        <w:autoSpaceDN w:val="0"/>
        <w:adjustRightInd w:val="0"/>
        <w:ind w:firstLine="570"/>
        <w:jc w:val="both"/>
      </w:pPr>
      <w:r w:rsidRPr="00ED6EC2">
        <w:t xml:space="preserve">В соответствии со </w:t>
      </w:r>
      <w:r>
        <w:fldChar w:fldCharType="begin"/>
      </w:r>
      <w:r>
        <w:instrText xml:space="preserve"> HYPERLINK "garantF1://12025267.24" </w:instrText>
      </w:r>
      <w:r>
        <w:fldChar w:fldCharType="separate"/>
      </w:r>
      <w:r w:rsidRPr="00ED6EC2">
        <w:t>статьей 2.4</w:t>
      </w:r>
      <w:r>
        <w:fldChar w:fldCharType="end"/>
      </w:r>
      <w:r w:rsidRPr="00ED6EC2">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D592B" w:rsidRPr="00ED6EC2" w:rsidP="00BD592B">
      <w:pPr>
        <w:autoSpaceDE w:val="0"/>
        <w:autoSpaceDN w:val="0"/>
        <w:adjustRightInd w:val="0"/>
        <w:ind w:firstLine="570"/>
        <w:jc w:val="both"/>
      </w:pPr>
      <w:r w:rsidRPr="00ED6EC2">
        <w:t xml:space="preserve">В силу </w:t>
      </w:r>
      <w:r>
        <w:fldChar w:fldCharType="begin"/>
      </w:r>
      <w:r>
        <w:instrText xml:space="preserve"> HYPERLINK "garantF1://12025267.24001" </w:instrText>
      </w:r>
      <w:r>
        <w:fldChar w:fldCharType="separate"/>
      </w:r>
      <w:r w:rsidRPr="00ED6EC2">
        <w:t>примечания</w:t>
      </w:r>
      <w:r>
        <w:fldChar w:fldCharType="end"/>
      </w:r>
      <w:r w:rsidRPr="00ED6EC2">
        <w:t xml:space="preserve">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муниципальной организации. </w:t>
      </w:r>
    </w:p>
    <w:p w:rsidR="00067DC6" w:rsidRPr="00ED6EC2" w:rsidP="00777362">
      <w:pPr>
        <w:autoSpaceDE w:val="0"/>
        <w:autoSpaceDN w:val="0"/>
        <w:adjustRightInd w:val="0"/>
        <w:ind w:firstLine="570"/>
        <w:jc w:val="both"/>
      </w:pPr>
      <w:r w:rsidRPr="00ED6EC2">
        <w:t xml:space="preserve">Приказом </w:t>
      </w:r>
      <w:r w:rsidRPr="00ED6EC2">
        <w:t xml:space="preserve">генерального директора </w:t>
      </w:r>
      <w:r w:rsidRPr="00ED6EC2" w:rsidR="00ED6EC2">
        <w:t>«НАЗВАНИЕ</w:t>
      </w:r>
      <w:r w:rsidRPr="00ED6EC2" w:rsidR="00C61737">
        <w:t>»</w:t>
      </w:r>
      <w:r w:rsidRPr="00ED6EC2" w:rsidR="00ED6EC2">
        <w:t xml:space="preserve"> </w:t>
      </w:r>
      <w:r w:rsidRPr="00ED6EC2">
        <w:t>№</w:t>
      </w:r>
      <w:r w:rsidRPr="00ED6EC2" w:rsidR="00ED6EC2">
        <w:t xml:space="preserve"> «НОМЕР»</w:t>
      </w:r>
      <w:r w:rsidRPr="00ED6EC2">
        <w:t xml:space="preserve"> от </w:t>
      </w:r>
      <w:r w:rsidRPr="00ED6EC2" w:rsidR="00C61737">
        <w:t>09</w:t>
      </w:r>
      <w:r w:rsidRPr="00ED6EC2">
        <w:t>.</w:t>
      </w:r>
      <w:r w:rsidRPr="00ED6EC2" w:rsidR="00C61737">
        <w:t>01</w:t>
      </w:r>
      <w:r w:rsidRPr="00ED6EC2">
        <w:t>.201</w:t>
      </w:r>
      <w:r w:rsidRPr="00ED6EC2" w:rsidR="00C61737">
        <w:t>7</w:t>
      </w:r>
      <w:r w:rsidRPr="00ED6EC2">
        <w:t xml:space="preserve"> года </w:t>
      </w:r>
      <w:r w:rsidRPr="00ED6EC2" w:rsidR="00777362">
        <w:t xml:space="preserve">Тенищев В.Н., как </w:t>
      </w:r>
      <w:r w:rsidRPr="00ED6EC2" w:rsidR="00C61737">
        <w:t>инженер противопожарной безопасности</w:t>
      </w:r>
      <w:r w:rsidRPr="00ED6EC2" w:rsidR="00777362">
        <w:t>,</w:t>
      </w:r>
      <w:r w:rsidRPr="00ED6EC2" w:rsidR="00ED6EC2">
        <w:t xml:space="preserve"> </w:t>
      </w:r>
      <w:r w:rsidRPr="00ED6EC2">
        <w:t xml:space="preserve">назначен ответственным за </w:t>
      </w:r>
      <w:r w:rsidRPr="00ED6EC2" w:rsidR="00C61737">
        <w:t>обеспечение пожарной безопасности в зданиях, сооружениях, помещениях, участках и т.п., исправность технологического оборуд</w:t>
      </w:r>
      <w:r w:rsidRPr="00ED6EC2" w:rsidR="00777362">
        <w:t>о</w:t>
      </w:r>
      <w:r w:rsidRPr="00ED6EC2" w:rsidR="00C61737">
        <w:t>вания, содержание в работоспособном состоянии и правиль</w:t>
      </w:r>
      <w:r w:rsidRPr="00ED6EC2" w:rsidR="00777362">
        <w:t xml:space="preserve">ную эксплуатацию технических средств противопожарной защиты. </w:t>
      </w:r>
      <w:r w:rsidRPr="00ED6EC2" w:rsidR="00777362">
        <w:t>Следовательно</w:t>
      </w:r>
      <w:r w:rsidRPr="00ED6EC2" w:rsidR="00ED6EC2">
        <w:t xml:space="preserve"> </w:t>
      </w:r>
      <w:r w:rsidRPr="00ED6EC2" w:rsidR="00777362">
        <w:t xml:space="preserve">Тенищев В.Н. </w:t>
      </w:r>
      <w:r w:rsidRPr="00ED6EC2">
        <w:t>является субъектом административно</w:t>
      </w:r>
      <w:r w:rsidRPr="00ED6EC2" w:rsidR="00777362">
        <w:t>го</w:t>
      </w:r>
      <w:r w:rsidRPr="00ED6EC2" w:rsidR="00ED6EC2">
        <w:t xml:space="preserve"> </w:t>
      </w:r>
      <w:r w:rsidRPr="00ED6EC2" w:rsidR="00777362">
        <w:t>правонарушения</w:t>
      </w:r>
      <w:r w:rsidRPr="00ED6EC2">
        <w:t>, предусмотренно</w:t>
      </w:r>
      <w:r w:rsidRPr="00ED6EC2" w:rsidR="00777362">
        <w:t>го</w:t>
      </w:r>
      <w:r>
        <w:fldChar w:fldCharType="begin"/>
      </w:r>
      <w:r>
        <w:instrText xml:space="preserve"> HYPERLINK "garantF1://12025267.559" </w:instrText>
      </w:r>
      <w:r>
        <w:fldChar w:fldCharType="separate"/>
      </w:r>
      <w:r w:rsidRPr="00ED6EC2">
        <w:t xml:space="preserve"> ч.1</w:t>
      </w:r>
      <w:r w:rsidRPr="00ED6EC2" w:rsidR="00777362">
        <w:t>2</w:t>
      </w:r>
      <w:r w:rsidRPr="00ED6EC2">
        <w:t xml:space="preserve"> ст.19.5</w:t>
      </w:r>
      <w:r>
        <w:fldChar w:fldCharType="end"/>
      </w:r>
      <w:r w:rsidRPr="00ED6EC2">
        <w:t xml:space="preserve"> КоАП РФ.</w:t>
      </w:r>
    </w:p>
    <w:p w:rsidR="00777362" w:rsidRPr="00ED6EC2" w:rsidP="00777362">
      <w:pPr>
        <w:autoSpaceDE w:val="0"/>
        <w:autoSpaceDN w:val="0"/>
        <w:adjustRightInd w:val="0"/>
        <w:ind w:firstLine="570"/>
        <w:jc w:val="both"/>
      </w:pPr>
      <w:r w:rsidRPr="00ED6EC2">
        <w:rPr>
          <w:rFonts w:eastAsia="SimSun"/>
          <w:lang w:eastAsia="zh-CN"/>
        </w:rPr>
        <w:t>При назначении наказания учитывается характер совершенного правонарушения и</w:t>
      </w:r>
      <w:r w:rsidRPr="00ED6EC2">
        <w:t xml:space="preserve"> личность</w:t>
      </w:r>
      <w:r w:rsidRPr="00ED6EC2" w:rsidR="00ED6EC2">
        <w:t xml:space="preserve"> </w:t>
      </w:r>
      <w:r w:rsidRPr="00ED6EC2">
        <w:t xml:space="preserve">Тенищева В.Н., который впервые привлекается к административной ответственности, признал вину в совершении правонарушении. </w:t>
      </w:r>
    </w:p>
    <w:p w:rsidR="00E60729" w:rsidRPr="00ED6EC2" w:rsidP="00E60729">
      <w:pPr>
        <w:autoSpaceDE w:val="0"/>
        <w:autoSpaceDN w:val="0"/>
        <w:adjustRightInd w:val="0"/>
        <w:ind w:firstLine="570"/>
        <w:jc w:val="both"/>
        <w:rPr>
          <w:rFonts w:eastAsia="SimSun"/>
          <w:lang w:eastAsia="zh-CN"/>
        </w:rPr>
      </w:pPr>
      <w:r w:rsidRPr="00ED6EC2">
        <w:rPr>
          <w:rFonts w:eastAsia="SimSun"/>
          <w:lang w:eastAsia="zh-CN"/>
        </w:rPr>
        <w:t xml:space="preserve">Обстоятельством, смягчающим административную ответственность </w:t>
      </w:r>
      <w:r w:rsidRPr="00ED6EC2" w:rsidR="00777362">
        <w:t>Тенищева В.Н.</w:t>
      </w:r>
      <w:r w:rsidRPr="00ED6EC2">
        <w:rPr>
          <w:rFonts w:eastAsia="SimSun"/>
          <w:lang w:eastAsia="zh-CN"/>
        </w:rPr>
        <w:t>, является признание вины в совершении правонарушения. Отягчающих ответственность обстоятельств не имеется.</w:t>
      </w:r>
    </w:p>
    <w:p w:rsidR="00E60729" w:rsidRPr="00ED6EC2" w:rsidP="00E60729">
      <w:pPr>
        <w:ind w:firstLine="570"/>
        <w:jc w:val="both"/>
      </w:pPr>
      <w:r w:rsidRPr="00ED6EC2">
        <w:t>Исходя из общих принципов назначения наказания, предусмотренных ст.ст.3.1, 4.1 КоАП РФ, считаю необходимым назначить административное наказание в виде</w:t>
      </w:r>
      <w:r w:rsidRPr="00ED6EC2" w:rsidR="00ED6EC2">
        <w:t xml:space="preserve"> </w:t>
      </w:r>
      <w:r w:rsidRPr="00ED6EC2">
        <w:t>штрафа.</w:t>
      </w:r>
    </w:p>
    <w:p w:rsidR="00E60729" w:rsidRPr="00ED6EC2" w:rsidP="00E60729">
      <w:pPr>
        <w:autoSpaceDE w:val="0"/>
        <w:autoSpaceDN w:val="0"/>
        <w:adjustRightInd w:val="0"/>
        <w:spacing w:before="120"/>
        <w:ind w:firstLine="573"/>
        <w:jc w:val="both"/>
        <w:rPr>
          <w:i/>
          <w:iCs/>
        </w:rPr>
      </w:pPr>
      <w:r w:rsidRPr="00ED6EC2">
        <w:rPr>
          <w:i/>
          <w:iCs/>
        </w:rPr>
        <w:t>Руководствуясь ст.ст.4.1-4.3, 19.</w:t>
      </w:r>
      <w:r w:rsidRPr="00ED6EC2" w:rsidR="008A74B6">
        <w:rPr>
          <w:i/>
          <w:iCs/>
        </w:rPr>
        <w:t>5</w:t>
      </w:r>
      <w:r w:rsidRPr="00ED6EC2">
        <w:rPr>
          <w:i/>
          <w:iCs/>
        </w:rPr>
        <w:t xml:space="preserve">, 29.1-29.10 КоАП РФ, </w:t>
      </w:r>
    </w:p>
    <w:p w:rsidR="008A74B6" w:rsidRPr="00ED6EC2" w:rsidP="00E60729">
      <w:pPr>
        <w:autoSpaceDE w:val="0"/>
        <w:autoSpaceDN w:val="0"/>
        <w:adjustRightInd w:val="0"/>
        <w:spacing w:before="120"/>
        <w:ind w:firstLine="573"/>
        <w:jc w:val="both"/>
        <w:rPr>
          <w:rFonts w:eastAsia="SimSun"/>
          <w:i/>
          <w:iCs/>
          <w:lang w:eastAsia="zh-CN"/>
        </w:rPr>
      </w:pPr>
    </w:p>
    <w:p w:rsidR="008A74B6" w:rsidRPr="00ED6EC2" w:rsidP="008A74B6">
      <w:pPr>
        <w:autoSpaceDE w:val="0"/>
        <w:autoSpaceDN w:val="0"/>
        <w:ind w:hanging="6"/>
        <w:jc w:val="center"/>
        <w:rPr>
          <w:b/>
        </w:rPr>
      </w:pPr>
      <w:r w:rsidRPr="00ED6EC2">
        <w:rPr>
          <w:b/>
        </w:rPr>
        <w:t>ПОСТАНОВИЛ:</w:t>
      </w:r>
    </w:p>
    <w:p w:rsidR="008A74B6" w:rsidRPr="00ED6EC2" w:rsidP="008A74B6">
      <w:pPr>
        <w:autoSpaceDE w:val="0"/>
        <w:autoSpaceDN w:val="0"/>
        <w:ind w:left="3540" w:firstLine="708"/>
        <w:rPr>
          <w:b/>
        </w:rPr>
      </w:pPr>
    </w:p>
    <w:p w:rsidR="008A74B6" w:rsidRPr="00ED6EC2" w:rsidP="008A74B6">
      <w:pPr>
        <w:tabs>
          <w:tab w:val="left" w:pos="627"/>
        </w:tabs>
        <w:ind w:firstLine="573"/>
        <w:jc w:val="both"/>
      </w:pPr>
      <w:r w:rsidRPr="00ED6EC2">
        <w:t xml:space="preserve">Тенищева </w:t>
      </w:r>
      <w:r w:rsidRPr="00ED6EC2" w:rsidR="00ED6EC2">
        <w:t>В.Н.</w:t>
      </w:r>
      <w:r w:rsidRPr="00ED6EC2">
        <w:t xml:space="preserve"> </w:t>
      </w:r>
      <w:r w:rsidRPr="00ED6EC2">
        <w:t>признать виновным в совершении административного правонарушения, предусмотренного</w:t>
      </w:r>
      <w:r w:rsidRPr="00ED6EC2" w:rsidR="00ED6EC2">
        <w:t xml:space="preserve"> </w:t>
      </w:r>
      <w:r w:rsidRPr="00ED6EC2" w:rsidR="00067DC6">
        <w:t>ч.1</w:t>
      </w:r>
      <w:r w:rsidRPr="00ED6EC2">
        <w:t>2</w:t>
      </w:r>
      <w:r w:rsidRPr="00ED6EC2" w:rsidR="00ED6EC2">
        <w:t xml:space="preserve"> </w:t>
      </w:r>
      <w:r w:rsidRPr="00ED6EC2">
        <w:t xml:space="preserve">ст.19.5 КоАП РФ, и подвергнуть его административному наказанию в виде штрафа в размере </w:t>
      </w:r>
      <w:r w:rsidRPr="00ED6EC2">
        <w:t>3</w:t>
      </w:r>
      <w:r w:rsidRPr="00ED6EC2">
        <w:t xml:space="preserve"> 000 (</w:t>
      </w:r>
      <w:r w:rsidRPr="00ED6EC2">
        <w:t>трех</w:t>
      </w:r>
      <w:r w:rsidRPr="00ED6EC2">
        <w:t xml:space="preserve"> тысяч) рублей 00 копеек.</w:t>
      </w:r>
    </w:p>
    <w:p w:rsidR="00A0608B" w:rsidRPr="00ED6EC2" w:rsidP="00A0608B">
      <w:pPr>
        <w:autoSpaceDE w:val="0"/>
        <w:autoSpaceDN w:val="0"/>
        <w:adjustRightInd w:val="0"/>
        <w:spacing w:after="120"/>
        <w:ind w:firstLine="570"/>
        <w:jc w:val="both"/>
        <w:rPr>
          <w:rFonts w:eastAsia="SimSun"/>
          <w:lang w:eastAsia="zh-CN"/>
        </w:rPr>
      </w:pPr>
      <w:r w:rsidRPr="00ED6EC2">
        <w:rPr>
          <w:rFonts w:eastAsia="SimSun"/>
          <w:lang w:eastAsia="zh-CN"/>
        </w:rPr>
        <w:t>Реквизиты для оплаты штрафа:</w:t>
      </w:r>
    </w:p>
    <w:tbl>
      <w:tblPr>
        <w:tblW w:w="907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815"/>
        <w:gridCol w:w="4262"/>
      </w:tblGrid>
      <w:tr w:rsidTr="00A0608B">
        <w:tblPrEx>
          <w:tblW w:w="9077"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Ex>
        <w:trPr>
          <w:tblCellSpacing w:w="0" w:type="dxa"/>
        </w:trPr>
        <w:tc>
          <w:tcPr>
            <w:tcW w:w="4815" w:type="dxa"/>
            <w:hideMark/>
          </w:tcPr>
          <w:p w:rsidR="00A0608B" w:rsidRPr="00ED6EC2" w:rsidP="00544F9D">
            <w:pPr>
              <w:pStyle w:val="NormalWeb"/>
              <w:spacing w:before="0" w:beforeAutospacing="0" w:after="0" w:afterAutospacing="0"/>
              <w:rPr>
                <w:sz w:val="16"/>
                <w:szCs w:val="16"/>
              </w:rPr>
            </w:pPr>
            <w:r w:rsidRPr="00ED6EC2">
              <w:rPr>
                <w:sz w:val="16"/>
                <w:szCs w:val="16"/>
              </w:rPr>
              <w:t>Наименование получателя</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УФК по Республике Крым (ГУ МЧС России по РК)</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ИНН получателя</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7702835821</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КПП получателя</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910201001</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Номер счета получателя</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40101810335100010001</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ОКАТО</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35000000000</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Банк получателя</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Отделение Республика Крым</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Банковский идентификационный код</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043510001</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Код классификации доходов бюджета</w:t>
            </w:r>
          </w:p>
        </w:tc>
        <w:tc>
          <w:tcPr>
            <w:tcW w:w="4262" w:type="dxa"/>
            <w:hideMark/>
          </w:tcPr>
          <w:p w:rsidR="00A0608B" w:rsidRPr="00ED6EC2" w:rsidP="006434D6">
            <w:pPr>
              <w:pStyle w:val="NormalWeb"/>
              <w:spacing w:before="0" w:beforeAutospacing="0" w:after="0" w:afterAutospacing="0"/>
              <w:rPr>
                <w:sz w:val="16"/>
                <w:szCs w:val="16"/>
              </w:rPr>
            </w:pPr>
            <w:r w:rsidRPr="00ED6EC2">
              <w:rPr>
                <w:sz w:val="16"/>
                <w:szCs w:val="16"/>
              </w:rPr>
              <w:t xml:space="preserve">177 116 </w:t>
            </w:r>
            <w:r w:rsidRPr="00ED6EC2" w:rsidR="006434D6">
              <w:rPr>
                <w:sz w:val="16"/>
                <w:szCs w:val="16"/>
              </w:rPr>
              <w:t>07</w:t>
            </w:r>
            <w:r w:rsidRPr="00ED6EC2">
              <w:rPr>
                <w:sz w:val="16"/>
                <w:szCs w:val="16"/>
              </w:rPr>
              <w:t> 000 01 6000 1</w:t>
            </w:r>
            <w:r w:rsidRPr="00ED6EC2">
              <w:rPr>
                <w:sz w:val="16"/>
                <w:szCs w:val="16"/>
              </w:rPr>
              <w:t>40</w:t>
            </w:r>
          </w:p>
        </w:tc>
      </w:tr>
      <w:tr w:rsidTr="00A0608B">
        <w:tblPrEx>
          <w:tblW w:w="9077" w:type="dxa"/>
          <w:tblCellSpacing w:w="0" w:type="dxa"/>
          <w:tblCellMar>
            <w:left w:w="0" w:type="dxa"/>
            <w:right w:w="0" w:type="dxa"/>
          </w:tblCellMar>
          <w:tblLook w:val="04A0"/>
        </w:tblPrEx>
        <w:trPr>
          <w:tblCellSpacing w:w="0" w:type="dxa"/>
        </w:trPr>
        <w:tc>
          <w:tcPr>
            <w:tcW w:w="4815" w:type="dxa"/>
            <w:vAlign w:val="center"/>
            <w:hideMark/>
          </w:tcPr>
          <w:p w:rsidR="00A0608B" w:rsidRPr="00ED6EC2" w:rsidP="00544F9D">
            <w:pPr>
              <w:pStyle w:val="NormalWeb"/>
              <w:spacing w:before="0" w:beforeAutospacing="0" w:after="0" w:afterAutospacing="0"/>
              <w:rPr>
                <w:sz w:val="16"/>
                <w:szCs w:val="16"/>
              </w:rPr>
            </w:pPr>
            <w:r w:rsidRPr="00ED6EC2">
              <w:rPr>
                <w:sz w:val="16"/>
                <w:szCs w:val="16"/>
              </w:rPr>
              <w:t>Код ОКТМО</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35729000</w:t>
            </w:r>
          </w:p>
        </w:tc>
      </w:tr>
      <w:tr w:rsidTr="00A0608B">
        <w:tblPrEx>
          <w:tblW w:w="9077" w:type="dxa"/>
          <w:tblCellSpacing w:w="0" w:type="dxa"/>
          <w:tblCellMar>
            <w:left w:w="0" w:type="dxa"/>
            <w:right w:w="0" w:type="dxa"/>
          </w:tblCellMar>
          <w:tblLook w:val="04A0"/>
        </w:tblPrEx>
        <w:trPr>
          <w:tblCellSpacing w:w="0" w:type="dxa"/>
        </w:trPr>
        <w:tc>
          <w:tcPr>
            <w:tcW w:w="4815" w:type="dxa"/>
            <w:hideMark/>
          </w:tcPr>
          <w:p w:rsidR="00A0608B" w:rsidRPr="00ED6EC2" w:rsidP="00544F9D">
            <w:pPr>
              <w:pStyle w:val="NormalWeb"/>
              <w:spacing w:before="0" w:beforeAutospacing="0" w:after="0" w:afterAutospacing="0"/>
              <w:rPr>
                <w:sz w:val="16"/>
                <w:szCs w:val="16"/>
              </w:rPr>
            </w:pPr>
            <w:r w:rsidRPr="00ED6EC2">
              <w:rPr>
                <w:sz w:val="16"/>
                <w:szCs w:val="16"/>
              </w:rPr>
              <w:t>Наименование платежа</w:t>
            </w:r>
          </w:p>
        </w:tc>
        <w:tc>
          <w:tcPr>
            <w:tcW w:w="4262" w:type="dxa"/>
            <w:hideMark/>
          </w:tcPr>
          <w:p w:rsidR="00A0608B" w:rsidRPr="00ED6EC2" w:rsidP="00544F9D">
            <w:pPr>
              <w:pStyle w:val="NormalWeb"/>
              <w:spacing w:before="0" w:beforeAutospacing="0" w:after="0" w:afterAutospacing="0"/>
              <w:rPr>
                <w:sz w:val="16"/>
                <w:szCs w:val="16"/>
              </w:rPr>
            </w:pPr>
            <w:r w:rsidRPr="00ED6EC2">
              <w:rPr>
                <w:sz w:val="16"/>
                <w:szCs w:val="16"/>
              </w:rPr>
              <w:t>Штраф по делу об административном правонарушении</w:t>
            </w:r>
          </w:p>
        </w:tc>
      </w:tr>
    </w:tbl>
    <w:p w:rsidR="008A74B6" w:rsidRPr="00ED6EC2" w:rsidP="008A74B6">
      <w:pPr>
        <w:autoSpaceDE w:val="0"/>
        <w:autoSpaceDN w:val="0"/>
        <w:adjustRightInd w:val="0"/>
        <w:spacing w:before="120" w:after="120"/>
        <w:ind w:firstLine="573"/>
        <w:jc w:val="both"/>
        <w:rPr>
          <w:rFonts w:eastAsia="SimSun"/>
          <w:lang w:eastAsia="zh-CN"/>
        </w:rPr>
      </w:pPr>
      <w:r w:rsidRPr="00ED6EC2">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74B6" w:rsidRPr="00ED6EC2" w:rsidP="008A74B6">
      <w:pPr>
        <w:autoSpaceDE w:val="0"/>
        <w:autoSpaceDN w:val="0"/>
        <w:adjustRightInd w:val="0"/>
        <w:spacing w:after="120"/>
        <w:ind w:firstLine="573"/>
        <w:jc w:val="both"/>
        <w:rPr>
          <w:rFonts w:eastAsia="SimSun"/>
          <w:lang w:eastAsia="zh-CN"/>
        </w:rPr>
      </w:pPr>
      <w:r w:rsidRPr="00ED6EC2">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A74B6" w:rsidRPr="00ED6EC2" w:rsidP="008A74B6">
      <w:pPr>
        <w:autoSpaceDE w:val="0"/>
        <w:autoSpaceDN w:val="0"/>
        <w:adjustRightInd w:val="0"/>
        <w:spacing w:after="120"/>
        <w:ind w:firstLine="573"/>
        <w:jc w:val="both"/>
        <w:outlineLvl w:val="2"/>
      </w:pPr>
      <w:r w:rsidRPr="00ED6EC2">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D6EC2">
        <w:t>Кодексом</w:t>
      </w:r>
      <w:r>
        <w:fldChar w:fldCharType="end"/>
      </w:r>
      <w:r w:rsidRPr="00ED6EC2">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74B6" w:rsidRPr="00ED6EC2" w:rsidP="008A74B6">
      <w:pPr>
        <w:autoSpaceDE w:val="0"/>
        <w:autoSpaceDN w:val="0"/>
        <w:adjustRightInd w:val="0"/>
        <w:spacing w:after="120"/>
        <w:ind w:firstLine="573"/>
        <w:jc w:val="both"/>
        <w:rPr>
          <w:rFonts w:eastAsia="SimSun"/>
          <w:lang w:eastAsia="zh-CN"/>
        </w:rPr>
      </w:pPr>
      <w:r w:rsidRPr="00ED6EC2">
        <w:rPr>
          <w:rFonts w:eastAsia="SimSun"/>
          <w:lang w:eastAsia="zh-CN"/>
        </w:rPr>
        <w:t>Постановление может быть обжаловано в Ялтинский городской суд через мирового судью в течение 10 дней</w:t>
      </w:r>
      <w:r w:rsidRPr="00ED6EC2" w:rsidR="00ED6EC2">
        <w:rPr>
          <w:rFonts w:eastAsia="SimSun"/>
          <w:lang w:eastAsia="zh-CN"/>
        </w:rPr>
        <w:t xml:space="preserve"> </w:t>
      </w:r>
      <w:r w:rsidRPr="00ED6EC2">
        <w:t>со дня вручения копии постановления</w:t>
      </w:r>
      <w:r w:rsidRPr="00ED6EC2">
        <w:rPr>
          <w:rFonts w:eastAsia="SimSun"/>
          <w:lang w:eastAsia="zh-CN"/>
        </w:rPr>
        <w:t xml:space="preserve">. </w:t>
      </w:r>
    </w:p>
    <w:p w:rsidR="008A74B6" w:rsidRPr="00ED6EC2" w:rsidP="008A74B6">
      <w:pPr>
        <w:tabs>
          <w:tab w:val="left" w:pos="627"/>
        </w:tabs>
        <w:ind w:firstLine="573"/>
        <w:jc w:val="both"/>
      </w:pPr>
    </w:p>
    <w:p w:rsidR="00ED6EC2" w:rsidRPr="00ED6EC2" w:rsidP="008A74B6">
      <w:pPr>
        <w:ind w:left="570"/>
        <w:jc w:val="both"/>
      </w:pPr>
      <w:r w:rsidRPr="00ED6EC2">
        <w:t>Мировой судья:</w:t>
      </w:r>
      <w:r w:rsidRPr="00ED6EC2">
        <w:tab/>
      </w:r>
    </w:p>
    <w:p w:rsidR="00ED6EC2" w:rsidRPr="00ED6EC2" w:rsidP="008A74B6">
      <w:pPr>
        <w:ind w:left="570"/>
        <w:jc w:val="both"/>
      </w:pPr>
    </w:p>
    <w:p w:rsidR="00ED6EC2" w:rsidRPr="00ED6EC2" w:rsidP="00ED6EC2">
      <w:pPr>
        <w:ind w:firstLine="567"/>
        <w:jc w:val="both"/>
      </w:pPr>
      <w:r w:rsidRPr="00ED6EC2">
        <w:t>«СОГЛАСОВАНО»</w:t>
      </w:r>
    </w:p>
    <w:p w:rsidR="00ED6EC2" w:rsidRPr="00ED6EC2" w:rsidP="00ED6EC2">
      <w:pPr>
        <w:ind w:firstLine="567"/>
        <w:jc w:val="both"/>
      </w:pPr>
      <w:r w:rsidRPr="00ED6EC2">
        <w:t xml:space="preserve">Мировой судья: </w:t>
      </w:r>
    </w:p>
    <w:p w:rsidR="008A74B6" w:rsidRPr="00ED6EC2" w:rsidP="00ED6EC2">
      <w:pPr>
        <w:ind w:left="570"/>
        <w:jc w:val="both"/>
      </w:pPr>
      <w:r w:rsidRPr="00ED6EC2">
        <w:t>_______________ А.В. Алтунин</w:t>
      </w:r>
      <w:r w:rsidRPr="00ED6EC2">
        <w:tab/>
      </w:r>
    </w:p>
    <w:sectPr w:rsidSect="00777362">
      <w:pgSz w:w="11906" w:h="16838"/>
      <w:pgMar w:top="993" w:right="1133"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