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AF25F3">
      <w:pPr>
        <w:ind w:left="6521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AF25F3">
        <w:rPr>
          <w:bCs/>
          <w:iCs/>
          <w:sz w:val="20"/>
          <w:szCs w:val="20"/>
        </w:rPr>
        <w:t>563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AF25F3" w:rsidRPr="00AF25F3" w:rsidP="00AF25F3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0097-01-2018-001064-73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30 октября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187E83">
        <w:rPr>
          <w:bCs/>
        </w:rPr>
        <w:t xml:space="preserve">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>Мировой судья судебного участка №97 Ялтинского судебного района (городской округ Ялта)</w:t>
      </w:r>
      <w:r w:rsidR="00D52A30">
        <w:t xml:space="preserve"> Республики Крым</w:t>
      </w:r>
      <w:r w:rsidRPr="003D0916">
        <w:t xml:space="preserve">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187E83" w:rsidRPr="003D0916" w:rsidP="00AF25F3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Спрингер </w:t>
      </w:r>
      <w:r w:rsidR="005F60EF">
        <w:t>Н.В.,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931D9A" w:rsidRPr="002D0CC0" w:rsidP="00187E83">
      <w:pPr>
        <w:autoSpaceDE w:val="0"/>
        <w:autoSpaceDN w:val="0"/>
        <w:adjustRightInd w:val="0"/>
        <w:ind w:firstLine="570"/>
        <w:jc w:val="both"/>
      </w:pPr>
      <w:r>
        <w:t>Спрингер Н.В.</w:t>
      </w:r>
      <w:r w:rsidRPr="003D0916" w:rsidR="00187E83">
        <w:t>,</w:t>
      </w:r>
      <w:r w:rsidR="00686AAE">
        <w:t xml:space="preserve"> </w:t>
      </w:r>
      <w:r w:rsidRPr="003D0916" w:rsidR="00686AAE">
        <w:t>зарегистрированн</w:t>
      </w:r>
      <w:r w:rsidR="00686AAE">
        <w:t>ая</w:t>
      </w:r>
      <w:r w:rsidR="00686AAE">
        <w:t xml:space="preserve"> по адресу:</w:t>
      </w:r>
      <w:r w:rsidR="005F60EF">
        <w:t xml:space="preserve"> «АДРЕС»</w:t>
      </w:r>
      <w:r w:rsidR="00686AAE">
        <w:t>, будучи индивидуальным предпринимателем (ОГРНИП</w:t>
      </w:r>
      <w:r w:rsidR="005F60EF">
        <w:t xml:space="preserve"> «НОМЕР»</w:t>
      </w:r>
      <w:r w:rsidR="00686AAE">
        <w:t>)</w:t>
      </w:r>
      <w:r w:rsidRPr="00937A5F" w:rsidR="00187E83">
        <w:t>,</w:t>
      </w:r>
      <w:r w:rsidR="00035D59">
        <w:t xml:space="preserve"> </w:t>
      </w:r>
      <w:r w:rsidRPr="00FB36F7">
        <w:t>не представил</w:t>
      </w:r>
      <w:r>
        <w:t>а</w:t>
      </w:r>
      <w:r w:rsidRPr="00FB36F7">
        <w:t xml:space="preserve"> в управление Пенсионного фонда РФ в </w:t>
      </w:r>
      <w:r w:rsidRPr="00FB36F7">
        <w:t>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>
        <w:t xml:space="preserve">июнь </w:t>
      </w:r>
      <w:r>
        <w:t>2018</w:t>
      </w:r>
      <w:r w:rsidRPr="00FB36F7">
        <w:t xml:space="preserve"> 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 xml:space="preserve">до </w:t>
      </w:r>
      <w:r>
        <w:t xml:space="preserve">16 июля </w:t>
      </w:r>
      <w:r>
        <w:t>2018</w:t>
      </w:r>
      <w:r w:rsidRPr="00FB36F7">
        <w:t xml:space="preserve"> года</w:t>
      </w:r>
      <w:r w:rsidR="000455E5">
        <w:t xml:space="preserve"> (с учетом выходного дня 15 июля 2018 года)</w:t>
      </w:r>
      <w:r w:rsidRPr="00FB36F7">
        <w:t xml:space="preserve">, </w:t>
      </w:r>
      <w:r w:rsidRPr="00FB36F7">
        <w:rPr>
          <w:iCs/>
        </w:rPr>
        <w:t>чем совершил</w:t>
      </w:r>
      <w:r w:rsidR="000B13E7"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 xml:space="preserve">КоАП </w:t>
      </w:r>
      <w:r w:rsidRPr="002D0CC0">
        <w:t>РФ.</w:t>
      </w:r>
    </w:p>
    <w:p w:rsidR="00EB474C" w:rsidP="00EB474C">
      <w:pPr>
        <w:autoSpaceDE w:val="0"/>
        <w:autoSpaceDN w:val="0"/>
        <w:adjustRightInd w:val="0"/>
        <w:ind w:firstLine="570"/>
        <w:jc w:val="both"/>
      </w:pPr>
      <w:r>
        <w:t xml:space="preserve">В судебном заседании </w:t>
      </w:r>
      <w:r w:rsidR="000455E5">
        <w:t xml:space="preserve">защитник </w:t>
      </w:r>
      <w:r w:rsidR="00AF25F3">
        <w:t>Спрингер Н.В.</w:t>
      </w:r>
      <w:r w:rsidR="000455E5">
        <w:t xml:space="preserve"> – Спрингер В.С. не</w:t>
      </w:r>
      <w:r w:rsidR="00AF25F3">
        <w:t xml:space="preserve"> </w:t>
      </w:r>
      <w:r>
        <w:t xml:space="preserve">признал вину </w:t>
      </w:r>
      <w:r w:rsidR="000455E5">
        <w:t>в</w:t>
      </w:r>
      <w:r>
        <w:t xml:space="preserve"> совершении правонарушения</w:t>
      </w:r>
      <w:r w:rsidR="000455E5">
        <w:t>,</w:t>
      </w:r>
      <w:r>
        <w:t xml:space="preserve"> ссылаясь на то, что нарушение допущено по независящим от Спрингер Н.В. техническим причинам, связанным со сбоем в работе компьютерной программы. </w:t>
      </w:r>
    </w:p>
    <w:p w:rsidR="00EB474C" w:rsidP="00EB474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 xml:space="preserve">Выслушав защитника лица, привлекаемого к административной ответственности, </w:t>
      </w:r>
      <w:r w:rsidRPr="00A14C0F">
        <w:rPr>
          <w:iCs/>
        </w:rPr>
        <w:t xml:space="preserve">прихожу к выводу о виновности </w:t>
      </w:r>
      <w:r>
        <w:rPr>
          <w:iCs/>
        </w:rPr>
        <w:t xml:space="preserve">данного лица </w:t>
      </w:r>
      <w:r w:rsidRPr="00A14C0F">
        <w:rPr>
          <w:iCs/>
        </w:rPr>
        <w:t xml:space="preserve">в </w:t>
      </w:r>
      <w:r w:rsidRPr="0060769F">
        <w:rPr>
          <w:rFonts w:eastAsia="SimSun"/>
          <w:color w:val="000000" w:themeColor="text1"/>
          <w:lang w:eastAsia="zh-CN"/>
        </w:rPr>
        <w:t>совершении правонарушения.</w:t>
      </w:r>
    </w:p>
    <w:p w:rsidR="00EB474C" w:rsidRPr="00843134" w:rsidP="00EB474C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5A79E5">
        <w:t>В соответствии с</w:t>
      </w:r>
      <w:r>
        <w:t>о</w:t>
      </w:r>
      <w:r w:rsidRPr="005A79E5">
        <w:t xml:space="preserve"> </w:t>
      </w:r>
      <w:r w:rsidRPr="003D0916">
        <w:rPr>
          <w:iCs/>
        </w:rPr>
        <w:t>ст.15.33.2</w:t>
      </w:r>
      <w:r w:rsidRPr="005A79E5">
        <w:t xml:space="preserve"> КоАП РФ административным правонарушением признается</w:t>
      </w:r>
      <w:r>
        <w:t xml:space="preserve"> н</w:t>
      </w:r>
      <w:r>
        <w:rPr>
          <w:rStyle w:val="blk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>
        <w:rPr>
          <w:rStyle w:val="blk"/>
        </w:rPr>
        <w:t xml:space="preserve"> </w:t>
      </w:r>
      <w:r>
        <w:rPr>
          <w:rStyle w:val="blk"/>
        </w:rPr>
        <w:t>объеме</w:t>
      </w:r>
      <w:r>
        <w:rPr>
          <w:rStyle w:val="blk"/>
        </w:rPr>
        <w:t xml:space="preserve"> или в искаженном виде. </w:t>
      </w:r>
    </w:p>
    <w:p w:rsidR="00EB474C" w:rsidP="00EB474C">
      <w:pPr>
        <w:autoSpaceDE w:val="0"/>
        <w:autoSpaceDN w:val="0"/>
        <w:adjustRightInd w:val="0"/>
        <w:ind w:firstLine="570"/>
        <w:jc w:val="both"/>
        <w:rPr>
          <w:rStyle w:val="blk"/>
        </w:rPr>
      </w:pPr>
      <w:r w:rsidRPr="00843134">
        <w:rPr>
          <w:rStyle w:val="blk"/>
        </w:rPr>
        <w:t xml:space="preserve">Согласно </w:t>
      </w:r>
      <w:r>
        <w:fldChar w:fldCharType="begin"/>
      </w:r>
      <w:r>
        <w:instrText xml:space="preserve"> HYPERLINK "garantF1://10800200.28903" </w:instrText>
      </w:r>
      <w:r>
        <w:fldChar w:fldCharType="separate"/>
      </w:r>
      <w:r w:rsidRPr="00843134">
        <w:rPr>
          <w:rStyle w:val="blk"/>
        </w:rPr>
        <w:t>п.2.2 ст.</w:t>
      </w:r>
      <w:r>
        <w:fldChar w:fldCharType="end"/>
      </w:r>
      <w:r w:rsidRPr="00843134">
        <w:rPr>
          <w:rStyle w:val="blk"/>
        </w:rPr>
        <w:t>11 Федерального закона от 01.04.1996 N 27-ФЗ «Об индивидуальном (персонифицированном) учете в системе обязательного пенсионного страхования»</w:t>
      </w:r>
      <w:r>
        <w:rPr>
          <w:rStyle w:val="blk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rStyle w:val="blk"/>
        </w:rPr>
        <w:t xml:space="preserve"> </w:t>
      </w:r>
      <w:r>
        <w:rPr>
          <w:rStyle w:val="blk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rStyle w:val="blk"/>
        </w:rPr>
        <w:t>1) страховой номер индивидуального лицевого счета;</w:t>
      </w:r>
      <w:r>
        <w:rPr>
          <w:rStyle w:val="blk"/>
        </w:rPr>
        <w:t xml:space="preserve"> 2) фамилию, имя и отчество;</w:t>
      </w:r>
      <w:r>
        <w:rPr>
          <w:rStyle w:val="blk"/>
        </w:rP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31DC" w:rsidRPr="00B735B7" w:rsidP="00874A5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A20044">
        <w:rPr>
          <w:iCs/>
        </w:rPr>
        <w:t>от</w:t>
      </w:r>
      <w:r w:rsidR="005F60EF">
        <w:rPr>
          <w:iCs/>
        </w:rPr>
        <w:t xml:space="preserve"> «ДАТА» </w:t>
      </w:r>
      <w:r w:rsidR="00AF25F3">
        <w:rPr>
          <w:iCs/>
        </w:rPr>
        <w:t>года</w:t>
      </w:r>
      <w:r w:rsidRPr="00B735B7">
        <w:rPr>
          <w:iCs/>
        </w:rPr>
        <w:t xml:space="preserve">; </w:t>
      </w:r>
      <w:r w:rsidRPr="00B735B7">
        <w:t>выпиской из ЕГР</w:t>
      </w:r>
      <w:r w:rsidR="00686AAE">
        <w:t>ИП</w:t>
      </w:r>
      <w:r w:rsidRPr="00B735B7">
        <w:t xml:space="preserve"> от </w:t>
      </w:r>
      <w:r w:rsidR="005F60EF">
        <w:rPr>
          <w:iCs/>
        </w:rPr>
        <w:t xml:space="preserve">«ДАТА» </w:t>
      </w:r>
      <w:r w:rsidR="00AF25F3">
        <w:t xml:space="preserve"> </w:t>
      </w:r>
      <w:r w:rsidRPr="00B735B7">
        <w:t>года</w:t>
      </w:r>
      <w:r>
        <w:t>;</w:t>
      </w:r>
      <w:r w:rsidRPr="00B735B7">
        <w:t xml:space="preserve"> формой СЗВ-М за </w:t>
      </w:r>
      <w:r w:rsidR="00AF25F3">
        <w:t xml:space="preserve">июнь </w:t>
      </w:r>
      <w:r w:rsidRPr="00B735B7">
        <w:t>201</w:t>
      </w:r>
      <w:r w:rsidR="00931D9A">
        <w:t>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>влении страхователем отчетности</w:t>
      </w:r>
      <w:r>
        <w:t xml:space="preserve">, согласно которой  отчетность по </w:t>
      </w:r>
      <w:r w:rsidRPr="00FB36F7">
        <w:t xml:space="preserve">форме СЗВ-М за </w:t>
      </w:r>
      <w:r>
        <w:t>июнь 2018</w:t>
      </w:r>
      <w:r w:rsidRPr="00FB36F7">
        <w:t xml:space="preserve"> года</w:t>
      </w:r>
      <w:r>
        <w:t xml:space="preserve"> подана 30.07.2018 года</w:t>
      </w:r>
      <w:r w:rsidR="00AF25F3">
        <w:rPr>
          <w:iCs/>
        </w:rPr>
        <w:t>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F25F3">
        <w:t xml:space="preserve">Спрингер Н.В. </w:t>
      </w:r>
      <w:r w:rsidRPr="00B735B7">
        <w:t>в совершении административного правонарушения.</w:t>
      </w:r>
    </w:p>
    <w:p w:rsidR="00EB474C" w:rsidP="00EB474C">
      <w:pPr>
        <w:autoSpaceDE w:val="0"/>
        <w:autoSpaceDN w:val="0"/>
        <w:adjustRightInd w:val="0"/>
        <w:ind w:firstLine="570"/>
        <w:jc w:val="both"/>
      </w:pPr>
      <w:r>
        <w:t xml:space="preserve">Довод </w:t>
      </w:r>
      <w:r>
        <w:rPr>
          <w:rFonts w:eastAsia="SimSun"/>
          <w:color w:val="000000" w:themeColor="text1"/>
          <w:lang w:eastAsia="zh-CN"/>
        </w:rPr>
        <w:t xml:space="preserve">защитника </w:t>
      </w:r>
      <w:r>
        <w:t xml:space="preserve">о том, что нарушение допущено по независящим от Спрингер Н.В. техническим причинам, связанным со сбоем в работе компьютерной программы, не может быть принят во внимание. </w:t>
      </w:r>
    </w:p>
    <w:p w:rsidR="00EB474C" w:rsidP="00EB474C">
      <w:pPr>
        <w:autoSpaceDE w:val="0"/>
        <w:autoSpaceDN w:val="0"/>
        <w:adjustRightInd w:val="0"/>
        <w:ind w:firstLine="570"/>
        <w:jc w:val="both"/>
      </w:pPr>
      <w:r>
        <w:t>Согласно ч.1 ст.2.1 КоАП РФ а</w:t>
      </w:r>
      <w:r w:rsidRPr="00863E80"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B474C" w:rsidRPr="00CD7BC2" w:rsidP="00EB474C">
      <w:pPr>
        <w:autoSpaceDE w:val="0"/>
        <w:autoSpaceDN w:val="0"/>
        <w:adjustRightInd w:val="0"/>
        <w:ind w:firstLine="570"/>
        <w:jc w:val="both"/>
      </w:pPr>
      <w:r w:rsidRPr="00CD7BC2">
        <w:t xml:space="preserve">В силу условий </w:t>
      </w:r>
      <w:r>
        <w:fldChar w:fldCharType="begin"/>
      </w:r>
      <w:r>
        <w:instrText xml:space="preserve"> HYPERLINK "garantF1://12025267.2201" </w:instrText>
      </w:r>
      <w:r>
        <w:fldChar w:fldCharType="separate"/>
      </w:r>
      <w:r w:rsidRPr="00CD7BC2">
        <w:t>части 1 статьи 2.2</w:t>
      </w:r>
      <w:r>
        <w:fldChar w:fldCharType="end"/>
      </w:r>
      <w:r w:rsidRPr="00CD7BC2">
        <w:t xml:space="preserve">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EB474C" w:rsidRPr="00CD7BC2" w:rsidP="00EB474C">
      <w:pPr>
        <w:autoSpaceDE w:val="0"/>
        <w:autoSpaceDN w:val="0"/>
        <w:adjustRightInd w:val="0"/>
        <w:ind w:firstLine="570"/>
        <w:jc w:val="both"/>
      </w:pPr>
      <w:r w:rsidRPr="00CD7BC2">
        <w:t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 (</w:t>
      </w:r>
      <w:r>
        <w:fldChar w:fldCharType="begin"/>
      </w:r>
      <w:r>
        <w:instrText xml:space="preserve"> HYPERLINK "garantF1://12025267.2202" </w:instrText>
      </w:r>
      <w:r>
        <w:fldChar w:fldCharType="separate"/>
      </w:r>
      <w:r w:rsidRPr="00CD7BC2">
        <w:t>ч. 2 ст. 2.2</w:t>
      </w:r>
      <w:r>
        <w:fldChar w:fldCharType="end"/>
      </w:r>
      <w:r w:rsidRPr="00CD7BC2">
        <w:t xml:space="preserve"> КоАП РФ).</w:t>
      </w:r>
    </w:p>
    <w:p w:rsidR="00EB474C" w:rsidRPr="0039712B" w:rsidP="00EB474C">
      <w:pPr>
        <w:autoSpaceDE w:val="0"/>
        <w:autoSpaceDN w:val="0"/>
        <w:adjustRightInd w:val="0"/>
        <w:ind w:firstLine="570"/>
        <w:jc w:val="both"/>
      </w:pPr>
      <w:r>
        <w:fldChar w:fldCharType="begin"/>
      </w:r>
      <w:r>
        <w:instrText xml:space="preserve"> HYPERLINK "garantF1://12025267.24" </w:instrText>
      </w:r>
      <w:r>
        <w:fldChar w:fldCharType="separate"/>
      </w:r>
      <w:r w:rsidRPr="00AD698F">
        <w:t>Статьей</w:t>
      </w:r>
      <w:r>
        <w:fldChar w:fldCharType="end"/>
      </w:r>
      <w:r w:rsidRPr="00AD698F">
        <w:t xml:space="preserve"> 2.4 КоАП РФ</w:t>
      </w:r>
      <w:r w:rsidRPr="0039712B">
        <w:t xml:space="preserve">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474C" w:rsidP="00EB474C">
      <w:pPr>
        <w:autoSpaceDE w:val="0"/>
        <w:autoSpaceDN w:val="0"/>
        <w:adjustRightInd w:val="0"/>
        <w:ind w:firstLine="570"/>
        <w:jc w:val="both"/>
      </w:pPr>
      <w:r>
        <w:t>Согласно данной формулировке вины субъекты административного производства не лишены возможности доказывать, что нарушение обязательных правил и норм вызвано чрезвычайными, объективно непредотвратимыми обстоятельствами и другими непредвиденными, непреодолимыми для соответствующих отношений препятствиями, находящимися вне их контроля, при том, что они действовали с той степенью заботливости и осмотрительности, какая требовалась в целях надлежащего исполнения законодательно установленных правил (норм), и что с их стороны</w:t>
      </w:r>
      <w:r>
        <w:t xml:space="preserve"> к этому были приняты все меры.</w:t>
      </w:r>
    </w:p>
    <w:p w:rsidR="00EB474C" w:rsidP="00EB474C">
      <w:pPr>
        <w:autoSpaceDE w:val="0"/>
        <w:autoSpaceDN w:val="0"/>
        <w:adjustRightInd w:val="0"/>
        <w:ind w:firstLine="570"/>
        <w:jc w:val="both"/>
      </w:pPr>
      <w:r>
        <w:t>Таким образом, сделать выводы о невиновности лица возможно только при наличии объективно непредотвратимых обстоятельств либо непредвиденных препятствий, находящихся вне контроля данного лица.</w:t>
      </w:r>
    </w:p>
    <w:p w:rsidR="00EB474C" w:rsidP="00EB474C">
      <w:pPr>
        <w:autoSpaceDE w:val="0"/>
        <w:autoSpaceDN w:val="0"/>
        <w:adjustRightInd w:val="0"/>
        <w:ind w:firstLine="570"/>
        <w:jc w:val="both"/>
      </w:pPr>
      <w:r>
        <w:t>В настоящем случае представитель должностного лица не привел убедительных доводов, основанных на доказательственной базе, которые свидетельствовали бы о том, что должностное лицо предприняло исчерпывающие меры для своевременного выполнения возложенной на него обязанности. Утверждение представителя о сбое в работе компьютерной программе является голословным, каких-либо доказательств возникновения непредвиденных препятствий, находящихся вне контроля должностного лица, в материалы дела не представлено. Следовательно, должностное лицо</w:t>
      </w:r>
      <w:r w:rsidRPr="005814CA">
        <w:t xml:space="preserve"> </w:t>
      </w:r>
      <w:r>
        <w:t>является виновным в совершении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C54231" w:rsidP="00C54231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AF25F3">
        <w:t>Спрингер Н.В.</w:t>
      </w:r>
      <w:r w:rsidR="00B7220B">
        <w:t xml:space="preserve">, </w:t>
      </w:r>
      <w:r w:rsidRPr="00B735B7">
        <w:t>котор</w:t>
      </w:r>
      <w:r w:rsidR="00366C75">
        <w:t>ая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EB474C" w:rsidP="00EB474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>
        <w:rPr>
          <w:rFonts w:eastAsia="SimSun"/>
          <w:lang w:eastAsia="zh-CN"/>
        </w:rPr>
        <w:t xml:space="preserve"> </w:t>
      </w:r>
      <w:r>
        <w:t xml:space="preserve">Спрингер Н.В.,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Спрингер </w:t>
      </w:r>
      <w:r w:rsidR="005F60EF">
        <w:t xml:space="preserve">Н.В. </w:t>
      </w:r>
      <w:r w:rsidRPr="00B735B7">
        <w:t>признать виновн</w:t>
      </w:r>
      <w:r w:rsidR="00366C75">
        <w:t>ой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её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187E83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5F60EF" w:rsidP="005A31DC">
      <w:pPr>
        <w:ind w:left="570"/>
        <w:jc w:val="both"/>
      </w:pPr>
      <w:r w:rsidRPr="00B735B7">
        <w:t>Мировой судья:</w:t>
      </w:r>
    </w:p>
    <w:p w:rsidR="005F60EF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5F60EF">
      <w:headerReference w:type="default" r:id="rId5"/>
      <w:pgSz w:w="11906" w:h="16838"/>
      <w:pgMar w:top="113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0EF">
          <w:rPr>
            <w:noProof/>
          </w:rPr>
          <w:t>3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455E5"/>
    <w:rsid w:val="00053E87"/>
    <w:rsid w:val="000614B9"/>
    <w:rsid w:val="00081E08"/>
    <w:rsid w:val="00086057"/>
    <w:rsid w:val="000B13E7"/>
    <w:rsid w:val="000C2E9F"/>
    <w:rsid w:val="000E59D2"/>
    <w:rsid w:val="00100595"/>
    <w:rsid w:val="0011542E"/>
    <w:rsid w:val="00155885"/>
    <w:rsid w:val="0018637D"/>
    <w:rsid w:val="00187E83"/>
    <w:rsid w:val="001B112A"/>
    <w:rsid w:val="001C436F"/>
    <w:rsid w:val="0020120A"/>
    <w:rsid w:val="002043DE"/>
    <w:rsid w:val="002100B8"/>
    <w:rsid w:val="002302F2"/>
    <w:rsid w:val="002510D6"/>
    <w:rsid w:val="00274E8B"/>
    <w:rsid w:val="002C6DC5"/>
    <w:rsid w:val="002D0CC0"/>
    <w:rsid w:val="00311644"/>
    <w:rsid w:val="003128B6"/>
    <w:rsid w:val="0033234F"/>
    <w:rsid w:val="0034625F"/>
    <w:rsid w:val="00361CE5"/>
    <w:rsid w:val="0036642F"/>
    <w:rsid w:val="00366C75"/>
    <w:rsid w:val="00373E67"/>
    <w:rsid w:val="0038414D"/>
    <w:rsid w:val="0039712B"/>
    <w:rsid w:val="003A4350"/>
    <w:rsid w:val="003C0436"/>
    <w:rsid w:val="003C7E8E"/>
    <w:rsid w:val="003D0916"/>
    <w:rsid w:val="00437E5E"/>
    <w:rsid w:val="004536F5"/>
    <w:rsid w:val="00467C4D"/>
    <w:rsid w:val="00473D45"/>
    <w:rsid w:val="00475BD8"/>
    <w:rsid w:val="004838FB"/>
    <w:rsid w:val="00491573"/>
    <w:rsid w:val="004C0097"/>
    <w:rsid w:val="004E486A"/>
    <w:rsid w:val="00536792"/>
    <w:rsid w:val="005571D4"/>
    <w:rsid w:val="005602F3"/>
    <w:rsid w:val="0057031E"/>
    <w:rsid w:val="00574280"/>
    <w:rsid w:val="005814CA"/>
    <w:rsid w:val="00587200"/>
    <w:rsid w:val="00592DB7"/>
    <w:rsid w:val="005A31DC"/>
    <w:rsid w:val="005A4CF3"/>
    <w:rsid w:val="005A79E5"/>
    <w:rsid w:val="005A7A75"/>
    <w:rsid w:val="005B131F"/>
    <w:rsid w:val="005E1AB1"/>
    <w:rsid w:val="005F60EF"/>
    <w:rsid w:val="0060769F"/>
    <w:rsid w:val="00632E86"/>
    <w:rsid w:val="00636A59"/>
    <w:rsid w:val="00653C56"/>
    <w:rsid w:val="00654D73"/>
    <w:rsid w:val="00663224"/>
    <w:rsid w:val="00671F2E"/>
    <w:rsid w:val="00680879"/>
    <w:rsid w:val="00686AAE"/>
    <w:rsid w:val="006A0C08"/>
    <w:rsid w:val="006B6832"/>
    <w:rsid w:val="006C011C"/>
    <w:rsid w:val="006C0453"/>
    <w:rsid w:val="006D3035"/>
    <w:rsid w:val="007035B5"/>
    <w:rsid w:val="007325CC"/>
    <w:rsid w:val="00756EB6"/>
    <w:rsid w:val="00757513"/>
    <w:rsid w:val="00774C3D"/>
    <w:rsid w:val="00802C5A"/>
    <w:rsid w:val="00815EAF"/>
    <w:rsid w:val="00825005"/>
    <w:rsid w:val="00843134"/>
    <w:rsid w:val="00856F81"/>
    <w:rsid w:val="00863E80"/>
    <w:rsid w:val="00874A50"/>
    <w:rsid w:val="00901240"/>
    <w:rsid w:val="00907B28"/>
    <w:rsid w:val="00931A82"/>
    <w:rsid w:val="00931D9A"/>
    <w:rsid w:val="00937A5F"/>
    <w:rsid w:val="0095064B"/>
    <w:rsid w:val="009D7D7C"/>
    <w:rsid w:val="009E38ED"/>
    <w:rsid w:val="009F49E1"/>
    <w:rsid w:val="00A007E6"/>
    <w:rsid w:val="00A14C0F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963F1"/>
    <w:rsid w:val="00AA6CE0"/>
    <w:rsid w:val="00AB7D7B"/>
    <w:rsid w:val="00AD60CC"/>
    <w:rsid w:val="00AD698F"/>
    <w:rsid w:val="00AF25F3"/>
    <w:rsid w:val="00B02ECD"/>
    <w:rsid w:val="00B03C98"/>
    <w:rsid w:val="00B256A4"/>
    <w:rsid w:val="00B34541"/>
    <w:rsid w:val="00B53BE1"/>
    <w:rsid w:val="00B62455"/>
    <w:rsid w:val="00B64DBD"/>
    <w:rsid w:val="00B720AF"/>
    <w:rsid w:val="00B7220B"/>
    <w:rsid w:val="00B735B7"/>
    <w:rsid w:val="00BA1E04"/>
    <w:rsid w:val="00BD12DE"/>
    <w:rsid w:val="00BF3906"/>
    <w:rsid w:val="00BF51F4"/>
    <w:rsid w:val="00C22AF7"/>
    <w:rsid w:val="00C43D79"/>
    <w:rsid w:val="00C54231"/>
    <w:rsid w:val="00C55647"/>
    <w:rsid w:val="00C57687"/>
    <w:rsid w:val="00C87B60"/>
    <w:rsid w:val="00C934C5"/>
    <w:rsid w:val="00CD7BC2"/>
    <w:rsid w:val="00CF336C"/>
    <w:rsid w:val="00D44DF1"/>
    <w:rsid w:val="00D52A30"/>
    <w:rsid w:val="00D65A4A"/>
    <w:rsid w:val="00D75ED9"/>
    <w:rsid w:val="00D810F1"/>
    <w:rsid w:val="00D85C91"/>
    <w:rsid w:val="00D92660"/>
    <w:rsid w:val="00DD47B5"/>
    <w:rsid w:val="00DE17F5"/>
    <w:rsid w:val="00DF5BD7"/>
    <w:rsid w:val="00E10646"/>
    <w:rsid w:val="00E33D1F"/>
    <w:rsid w:val="00E44BDE"/>
    <w:rsid w:val="00E5685A"/>
    <w:rsid w:val="00EB474C"/>
    <w:rsid w:val="00EF710A"/>
    <w:rsid w:val="00F61B1A"/>
    <w:rsid w:val="00F658A9"/>
    <w:rsid w:val="00FB22E7"/>
    <w:rsid w:val="00FB2ECB"/>
    <w:rsid w:val="00FB36F7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EB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91A84-6054-4C3B-8DA3-0D31F5F8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