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№02-0023/14/2024</w:t>
      </w:r>
    </w:p>
    <w:p w:rsidR="00A77B3E">
      <w:r>
        <w:t>УИД 91MS0014-телефон-телефон</w:t>
      </w:r>
    </w:p>
    <w:p w:rsidR="00A77B3E"/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      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убытков,</w:t>
      </w:r>
    </w:p>
    <w:p w:rsidR="00A77B3E">
      <w:r>
        <w:t>руководствуясь статьями 309-310, 807-810, 819-821.1 ГК РФ, телефон, 321 ГПК РФ,</w:t>
      </w:r>
    </w:p>
    <w:p w:rsidR="00A77B3E"/>
    <w:p w:rsidR="00A77B3E">
      <w:r>
        <w:t>р е ш и л :</w:t>
      </w:r>
    </w:p>
    <w:p w:rsidR="00A77B3E"/>
    <w:p w:rsidR="00A77B3E">
      <w:r>
        <w:t>в удовлетворении иска наименование организации – отказать в связи с пропуском срока исковой давности.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