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№02-0779/14/2024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секретаре фио, с участием истца фио и его представителя фио, представителя ответчика – фио, рассмотрев в открытом судебном заседании гражданское дело по исковому заявлению фио к наименование организации, о компенсации морального вреда, уменьшении цены оказанных услуг и взыскании штрафа,</w:t>
      </w:r>
    </w:p>
    <w:p w:rsidR="00A77B3E">
      <w:r>
        <w:t>руководствуясь статьями 194-199, 321 ГПК РФ,</w:t>
      </w:r>
    </w:p>
    <w:p w:rsidR="00A77B3E"/>
    <w:p w:rsidR="00A77B3E">
      <w:r>
        <w:t>р е ш и л :</w:t>
      </w:r>
    </w:p>
    <w:p w:rsidR="00A77B3E"/>
    <w:p w:rsidR="00A77B3E">
      <w:r>
        <w:t>в удовлетворении искового заявления фио – отказать.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