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20FD" w:rsidRPr="006120FD" w:rsidP="006120F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Дело № 2-0081/16/2017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FD" w:rsidRPr="006120FD" w:rsidP="006120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РЕШЕНИЕ</w:t>
      </w:r>
    </w:p>
    <w:p w:rsidR="006120FD" w:rsidRPr="006120FD" w:rsidP="006120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FD" w:rsidRPr="006120FD" w:rsidP="00612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18 мая  2017 года                                                    г. Симферополь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6120FD">
        <w:rPr>
          <w:rFonts w:ascii="Times New Roman" w:eastAsia="Calibri" w:hAnsi="Times New Roman" w:cs="Times New Roman"/>
          <w:sz w:val="24"/>
          <w:szCs w:val="24"/>
        </w:rPr>
        <w:t>Чепиль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О.А.</w:t>
      </w:r>
      <w:r w:rsidRPr="006120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при секретаре - Погосян А.Г.,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120F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представителя Журавлёвой Юлии Сергеевны к Государственному унитарному предприятию «Крым БТИ» в лице филиала Государственного унитарного предприятия Республики Крым «Крым БТИ» в г. Симферополе о признании технического паспорта недействительным, взыскании уплаченных денежных средств за изготовление технического паспорта, компенсации</w:t>
      </w:r>
      <w:r w:rsidRPr="006120FD">
        <w:rPr>
          <w:rFonts w:ascii="Times New Roman" w:hAnsi="Times New Roman" w:cs="Times New Roman"/>
          <w:sz w:val="24"/>
          <w:szCs w:val="24"/>
        </w:rPr>
        <w:t xml:space="preserve"> морального вреда,  штрафа,</w:t>
      </w:r>
    </w:p>
    <w:p w:rsidR="006120FD" w:rsidRPr="006120FD" w:rsidP="006120F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0FD" w:rsidRPr="006120FD" w:rsidP="006120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УСТАНОВИЛ: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07.04.2017 года представитель Журавлевой Ю.С. – Журавлев С.А., действующий на основании доверенности от 21.09.2015 г., обратился в суд с иском, в котором с учетом уточнений и дополнений, просил признать недействительным технический паспорт от 30.10.2015 г., изготовленный филиалом ГУП РК «Крым БТИ» в г. Симферополе, обязать ответчика  вернуть оплаченную сумму за оказанную услугу в размере 7657 руб., взыскать с ответчика</w:t>
      </w:r>
      <w:r w:rsidRPr="006120FD">
        <w:rPr>
          <w:rFonts w:ascii="Times New Roman" w:hAnsi="Times New Roman" w:cs="Times New Roman"/>
          <w:sz w:val="24"/>
          <w:szCs w:val="24"/>
        </w:rPr>
        <w:t xml:space="preserve"> в счет компенсации морального вреда 10000 руб., а также штраф на основании Закона РФ «О защите прав потребителей» за отказ добровольного удовлетворения исковых требований.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В обоснование заявленных требований указал, что Журавлева Ю.С. является собственником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>.  26.10.2015 г. Журавлев С.А., действующий в интересах Журавлёвой Ю.С. заключил с филиалом ГУП РК «Крым БТИ» в г. Симферополе договор на изготовление технического паспорта на названный объект недвижимости, согласно которого ответчик должен был изготовить новый технический паспорт с фактическим расположением строений и размерами.</w:t>
      </w:r>
      <w:r w:rsidRPr="006120FD">
        <w:rPr>
          <w:rFonts w:ascii="Times New Roman" w:hAnsi="Times New Roman" w:cs="Times New Roman"/>
          <w:sz w:val="24"/>
          <w:szCs w:val="24"/>
        </w:rPr>
        <w:t xml:space="preserve"> Однако, в техническом паспорте, изготовленном 30.10.2015 г. филиалом  ГУП РК «Крым БТИ» в г. Симферополе, площадь земельного участка и его конфигурация не соответствует действительности, а именно: площадь земельного участка уменьшилась, поменялась его конфигурация, также не соответствуют действительности замеры </w:t>
      </w:r>
      <w:r w:rsidRPr="006120FD">
        <w:rPr>
          <w:rFonts w:ascii="Times New Roman" w:eastAsia="Calibri" w:hAnsi="Times New Roman" w:cs="Times New Roman"/>
          <w:sz w:val="24"/>
          <w:szCs w:val="24"/>
        </w:rPr>
        <w:t>внутренних площадей кухни-столовой.</w:t>
      </w:r>
      <w:r w:rsidRPr="006120FD">
        <w:rPr>
          <w:rFonts w:ascii="Times New Roman" w:hAnsi="Times New Roman" w:cs="Times New Roman"/>
          <w:sz w:val="24"/>
          <w:szCs w:val="24"/>
        </w:rPr>
        <w:t xml:space="preserve"> После обращения к ответчику с требованием устранить выявленные в техническом паспорте недостатки, ответчик выдал исправленный технический паспорт, исключив из него забор, остальные недостатки не были устранены. В связи с неправомерными действиями ответчика, истцу причинен моральный вред. 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Истец </w:t>
      </w:r>
      <w:r w:rsidRPr="006120FD">
        <w:rPr>
          <w:rFonts w:ascii="Times New Roman" w:hAnsi="Times New Roman" w:cs="Times New Roman"/>
          <w:color w:val="000000"/>
          <w:sz w:val="24"/>
          <w:szCs w:val="24"/>
        </w:rPr>
        <w:t xml:space="preserve">Журавлева Ю.С. в судебное заседание не явилась, извещалась надлежащим образом. 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5"/>
          <w:rFonts w:eastAsia="Times New Roman"/>
          <w:sz w:val="24"/>
          <w:szCs w:val="24"/>
          <w:lang w:eastAsia="ru-RU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Представитель истца Журавлев С.А. в судебном заседании уточненные исковые требования поддержал в полном объеме, по основаниям, изложенным в исковом заявлении, дополнив, что они хотели, чтобы ответчик </w:t>
      </w:r>
      <w:r w:rsidRPr="006120FD">
        <w:rPr>
          <w:rStyle w:val="FontStyle15"/>
          <w:sz w:val="24"/>
          <w:szCs w:val="24"/>
        </w:rPr>
        <w:t xml:space="preserve">изготовил им технический паспорт, который бы соответствовал техническому паспорту 2008 года, поскольку с указанного периода времени на земельном участке ничего не изменилось. Однако в изготовленном ответчиком 30.10.2015 г. техническом паспорте общая площадь </w:t>
      </w:r>
      <w:r w:rsidRPr="006120FD">
        <w:rPr>
          <w:rFonts w:ascii="Times New Roman" w:hAnsi="Times New Roman" w:cs="Times New Roman"/>
          <w:sz w:val="24"/>
          <w:szCs w:val="24"/>
        </w:rPr>
        <w:t xml:space="preserve">земельного участка с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>кв.м</w:t>
      </w:r>
      <w:r w:rsidRPr="006120FD">
        <w:rPr>
          <w:rFonts w:ascii="Times New Roman" w:hAnsi="Times New Roman" w:cs="Times New Roman"/>
          <w:sz w:val="24"/>
          <w:szCs w:val="24"/>
        </w:rPr>
        <w:t xml:space="preserve">. уменьшилась </w:t>
      </w:r>
      <w:r w:rsidRPr="006120F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, а также изменилась его конфигурация. Из-за того, что общая площадь земельного участка, указанная в государственном акте и кадастровом паспорте не соответствует общей площади земельного участка, указанной в изготовленном техническом паспорте от 30.10.2015г., </w:t>
      </w:r>
      <w:r w:rsidRPr="006120FD">
        <w:rPr>
          <w:rStyle w:val="FontStyle15"/>
          <w:sz w:val="24"/>
          <w:szCs w:val="24"/>
        </w:rPr>
        <w:t>Госкомрегистр</w:t>
      </w:r>
      <w:r w:rsidRPr="006120FD">
        <w:rPr>
          <w:rStyle w:val="FontStyle15"/>
          <w:sz w:val="24"/>
          <w:szCs w:val="24"/>
        </w:rPr>
        <w:t xml:space="preserve">  отказал им в регистрации права собственности. 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Представитель ответчика </w:t>
      </w:r>
      <w:r w:rsidRPr="006120FD">
        <w:rPr>
          <w:rFonts w:ascii="Times New Roman" w:hAnsi="Times New Roman" w:cs="Times New Roman"/>
          <w:sz w:val="24"/>
          <w:szCs w:val="24"/>
        </w:rPr>
        <w:t>Качан</w:t>
      </w:r>
      <w:r w:rsidRPr="006120FD">
        <w:rPr>
          <w:rFonts w:ascii="Times New Roman" w:hAnsi="Times New Roman" w:cs="Times New Roman"/>
          <w:sz w:val="24"/>
          <w:szCs w:val="24"/>
        </w:rPr>
        <w:t xml:space="preserve"> Е.О. в судебном заседании исковые требования не признала, пояснив, что</w:t>
      </w:r>
      <w:r w:rsidRPr="006120F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>технический паспорт, представленный филиалом ГУП РК «Крым БТИ» г. Симферополя  является документом, содержащим технические характеристики объекта, и соответствует требованиям законодательства. Ссылается на отсутствие доказательств нарушения прав истца изготовленным техническим паспортом и причинения морального вреда.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С учетом положений </w:t>
      </w:r>
      <w:r>
        <w:fldChar w:fldCharType="begin"/>
      </w:r>
      <w:r>
        <w:instrText xml:space="preserve"> HYPERLINK "consultantplus://offline/ref=D6024D98474870D87A4DCBEEB7EF09D38B9A2BCF67537AA3FFF7DD3FB27C2C2E463B2E42651EC7A8TFw1Q"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статьи 167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мировой судья определил о рассмотрении дела в отсутствие истца.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Суд, на основании положений </w:t>
      </w:r>
      <w:r>
        <w:fldChar w:fldCharType="begin"/>
      </w:r>
      <w:r>
        <w:instrText xml:space="preserve"> HYPERLINK "consultantplus://offline/ref=9B4C8F7F255442BBCF65EB6AF4B0D283A388B74D3B19FCF64ABCCBD2D94D953059DF86001F8A0033g851M"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67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ГПК РФ, оценив все представленные в материалы дела доказательства, выслушав участников дела, показания свидетеля, пришёл к выводу, что заявленные исковые требования не подлежат удовлетворению, по следующим основаниям.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"consultantplus://offline/ref=792D1C134B7048C31D5F08EE91A612E855E6318EB998132726AC7C398CB4286D8CFE6F8DC10274FEx1T8W"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3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При этом, по смыслу </w:t>
      </w:r>
      <w:r>
        <w:fldChar w:fldCharType="begin"/>
      </w:r>
      <w:r>
        <w:instrText xml:space="preserve"> HYPERLINK "consultantplus://offline/ref=792D1C134B7048C31D5F08EE91A612E855E63183B799132726AC7C398CB4286D8CFE6F8DC10274FBx1TAW"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8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ГК РФ гражданские права, в том числе подлежащие защите при их нарушении,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"consultantplus://offline/ref=792D1C134B7048C31D5F08EE91A612E855E63087B79B132726AC7C398CB4286D8CFE6F8DC10275FBx1T4W"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19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ЖК РФ предусмотрено проведение государственного учета жилищного фонда в Российской Федерации, в том числе его техническая инвентаризация и техническая паспортизация, с оформлением технических паспортов жилых помещений - 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"consultantplus://offline/ref=792D1C134B7048C31D5F08EE91A612E856E23083B89B132726AC7C398CB4286D8CFE6F8DC10274FEx1T5W"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п. 2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Положения «О государственном учете жилищного фонда в Российской Федерации», утв. Постановлением Правительства РФ от 13 октября 1997 года № 1301 технический учет жилищного фонда возлагается на специализированные государственные и муниципальные организации технической инвентаризации - унитарные предприятия, службы, управления, центры, бюро - БТИ.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"consultantplus://offline/ref=B2BE10C658994BB7F107658A93B3AF62C46DD94E3A38C66FAA1E9E2DF6064C45C5BCEC1B508CFA22V8QCS"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56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Как установлено судом и следует из материалов дела, истец Журавлева Ю.С. является собственником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  на основании договора дарения доли домовладения </w:t>
      </w:r>
      <w:r w:rsidRPr="006120FD">
        <w:rPr>
          <w:rFonts w:ascii="Times New Roman" w:hAnsi="Times New Roman" w:cs="Times New Roman"/>
          <w:sz w:val="24"/>
          <w:szCs w:val="24"/>
        </w:rPr>
        <w:t>от</w:t>
      </w:r>
      <w:r w:rsidRPr="00612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изъяты»</w:t>
      </w:r>
      <w:r w:rsidRPr="006120FD">
        <w:rPr>
          <w:rFonts w:ascii="Times New Roman" w:hAnsi="Times New Roman" w:cs="Times New Roman"/>
          <w:sz w:val="24"/>
          <w:szCs w:val="24"/>
        </w:rPr>
        <w:t>, (</w:t>
      </w:r>
      <w:r w:rsidRPr="006120FD">
        <w:rPr>
          <w:rFonts w:ascii="Times New Roman" w:hAnsi="Times New Roman" w:cs="Times New Roman"/>
          <w:sz w:val="24"/>
          <w:szCs w:val="24"/>
        </w:rPr>
        <w:t>л.д</w:t>
      </w:r>
      <w:r w:rsidRPr="006120FD">
        <w:rPr>
          <w:rFonts w:ascii="Times New Roman" w:hAnsi="Times New Roman" w:cs="Times New Roman"/>
          <w:sz w:val="24"/>
          <w:szCs w:val="24"/>
        </w:rPr>
        <w:t xml:space="preserve">. 21-22), сособственником ½ доли указанного домовладения является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, сособственником ¼ доли указанного домовладения был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6120FD" w:rsidRPr="006120FD" w:rsidP="00612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На основании решения Симферопольского городского совета от 24.01.2006 г.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 Журавлевой Ю.С. передан в собственность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 xml:space="preserve">га,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, выдан государственный акт на право собственности на земельный участок серии ЯБ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, в соответствии с которым,  сособственниками указанного земельного участка являются также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 (</w:t>
      </w:r>
      <w:r w:rsidRPr="006120FD">
        <w:rPr>
          <w:rFonts w:ascii="Times New Roman" w:hAnsi="Times New Roman" w:cs="Times New Roman"/>
          <w:sz w:val="24"/>
          <w:szCs w:val="24"/>
        </w:rPr>
        <w:t>л.д</w:t>
      </w:r>
      <w:r w:rsidRPr="006120FD">
        <w:rPr>
          <w:rFonts w:ascii="Times New Roman" w:hAnsi="Times New Roman" w:cs="Times New Roman"/>
          <w:sz w:val="24"/>
          <w:szCs w:val="24"/>
        </w:rPr>
        <w:t>. 15 об</w:t>
      </w:r>
      <w:r w:rsidRPr="006120FD">
        <w:rPr>
          <w:rFonts w:ascii="Times New Roman" w:hAnsi="Times New Roman" w:cs="Times New Roman"/>
          <w:sz w:val="24"/>
          <w:szCs w:val="24"/>
        </w:rPr>
        <w:t>.</w:t>
      </w:r>
      <w:r w:rsidRPr="006120FD"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>с</w:t>
      </w:r>
      <w:r w:rsidRPr="006120FD">
        <w:rPr>
          <w:rFonts w:ascii="Times New Roman" w:hAnsi="Times New Roman" w:cs="Times New Roman"/>
          <w:sz w:val="24"/>
          <w:szCs w:val="24"/>
        </w:rPr>
        <w:t xml:space="preserve">торона). 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120FD">
        <w:rPr>
          <w:rFonts w:ascii="Times New Roman" w:hAnsi="Times New Roman"/>
          <w:sz w:val="24"/>
          <w:szCs w:val="24"/>
        </w:rPr>
        <w:t xml:space="preserve">26.10.2015 г. между представителем истца, действующего по доверенности в интересах истца и филиалом ГУП РК «Крым БТИ» г. Симферополя заключен Договор №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0FD">
        <w:rPr>
          <w:rFonts w:ascii="Times New Roman" w:hAnsi="Times New Roman"/>
          <w:sz w:val="24"/>
          <w:szCs w:val="24"/>
        </w:rPr>
        <w:t xml:space="preserve">на изготовление технического паспорта с обследованием на домовладение, расположенное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>.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120FD">
        <w:rPr>
          <w:rFonts w:ascii="Times New Roman" w:hAnsi="Times New Roman"/>
          <w:sz w:val="24"/>
          <w:szCs w:val="24"/>
        </w:rPr>
        <w:t>Оплата за услуги БТИ произведена представителем истца двумя платежами, с учетом доплаты за учет внутренних площадей хозяйственно-бытовых строений и банковских услуг на общую сумму 7657 руб. 92 коп</w:t>
      </w:r>
      <w:r w:rsidRPr="006120FD">
        <w:rPr>
          <w:rFonts w:ascii="Times New Roman" w:hAnsi="Times New Roman"/>
          <w:sz w:val="24"/>
          <w:szCs w:val="24"/>
        </w:rPr>
        <w:t>.(</w:t>
      </w:r>
      <w:r w:rsidRPr="006120FD">
        <w:rPr>
          <w:rFonts w:ascii="Times New Roman" w:hAnsi="Times New Roman"/>
          <w:sz w:val="24"/>
          <w:szCs w:val="24"/>
        </w:rPr>
        <w:t>л.д</w:t>
      </w:r>
      <w:r w:rsidRPr="006120FD">
        <w:rPr>
          <w:rFonts w:ascii="Times New Roman" w:hAnsi="Times New Roman"/>
          <w:sz w:val="24"/>
          <w:szCs w:val="24"/>
        </w:rPr>
        <w:t>. 3).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120FD">
        <w:rPr>
          <w:rFonts w:ascii="Times New Roman" w:hAnsi="Times New Roman"/>
          <w:sz w:val="24"/>
          <w:szCs w:val="24"/>
        </w:rPr>
        <w:t xml:space="preserve">Филиал ГУП РК «Крым БТИ» г. Симферополя  изготовил и выдал технический паспорт на домовладение, расположенное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 xml:space="preserve">, инвентарный номер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>, составленный по состоянию на 30 октября 2015 года (</w:t>
      </w:r>
      <w:r w:rsidRPr="006120FD">
        <w:rPr>
          <w:rFonts w:ascii="Times New Roman" w:hAnsi="Times New Roman"/>
          <w:sz w:val="24"/>
          <w:szCs w:val="24"/>
        </w:rPr>
        <w:t>л.д</w:t>
      </w:r>
      <w:r w:rsidRPr="006120FD">
        <w:rPr>
          <w:rFonts w:ascii="Times New Roman" w:hAnsi="Times New Roman"/>
          <w:sz w:val="24"/>
          <w:szCs w:val="24"/>
        </w:rPr>
        <w:t>. 6-7).</w:t>
      </w:r>
    </w:p>
    <w:p w:rsidR="006120FD" w:rsidRPr="006120FD" w:rsidP="006120F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Calibri"/>
          <w:lang w:eastAsia="en-US"/>
        </w:rPr>
      </w:pPr>
      <w:r w:rsidRPr="006120FD">
        <w:rPr>
          <w:rFonts w:eastAsia="Calibri"/>
          <w:lang w:eastAsia="en-US"/>
        </w:rPr>
        <w:t xml:space="preserve">В техническом паспорте на </w:t>
      </w:r>
      <w:r w:rsidRPr="006120FD">
        <w:rPr>
          <w:color w:val="000000"/>
        </w:rPr>
        <w:t xml:space="preserve">домовладение № 44 по ул. </w:t>
      </w:r>
      <w:r w:rsidRPr="006120FD">
        <w:rPr>
          <w:color w:val="000000"/>
        </w:rPr>
        <w:t>Севастопольской</w:t>
      </w:r>
      <w:r w:rsidRPr="006120FD">
        <w:rPr>
          <w:color w:val="000000"/>
        </w:rPr>
        <w:t xml:space="preserve"> в г. Симферополе, составленном  по состоянию на 05.09.2008 г. площадь земельного участка согласно данных технического паспорта составляет </w:t>
      </w:r>
      <w:r>
        <w:t>«данные изъяты»</w:t>
      </w:r>
      <w:r w:rsidRPr="006120FD">
        <w:rPr>
          <w:rFonts w:eastAsia="Calibri"/>
          <w:lang w:eastAsia="en-US"/>
        </w:rPr>
        <w:t xml:space="preserve"> га (</w:t>
      </w:r>
      <w:r w:rsidRPr="006120FD">
        <w:rPr>
          <w:rFonts w:eastAsia="Calibri"/>
          <w:lang w:eastAsia="en-US"/>
        </w:rPr>
        <w:t>л.д</w:t>
      </w:r>
      <w:r w:rsidRPr="006120FD">
        <w:rPr>
          <w:rFonts w:eastAsia="Calibri"/>
          <w:lang w:eastAsia="en-US"/>
        </w:rPr>
        <w:t>. 11).</w:t>
      </w:r>
    </w:p>
    <w:p w:rsidR="006120FD" w:rsidRPr="006120FD" w:rsidP="006120F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Calibri"/>
          <w:lang w:eastAsia="en-US"/>
        </w:rPr>
      </w:pPr>
      <w:r w:rsidRPr="006120FD">
        <w:rPr>
          <w:color w:val="000000"/>
        </w:rPr>
        <w:t xml:space="preserve">В оспариваемом техническом паспорте домовладения </w:t>
      </w:r>
      <w:r>
        <w:t>«данные изъяты»</w:t>
      </w:r>
      <w:r w:rsidRPr="006120FD">
        <w:rPr>
          <w:color w:val="000000"/>
        </w:rPr>
        <w:t xml:space="preserve">, составленном  по состоянию на 30.10.2015 г. представлен план земельного участка, площадь которого не указана, однако свидетельствует, что участок имеет иную площадь и конфигурацию  </w:t>
      </w:r>
      <w:r w:rsidRPr="006120FD">
        <w:rPr>
          <w:rFonts w:eastAsia="Calibri"/>
          <w:lang w:eastAsia="en-US"/>
        </w:rPr>
        <w:t>(</w:t>
      </w:r>
      <w:r w:rsidRPr="006120FD">
        <w:rPr>
          <w:rFonts w:eastAsia="Calibri"/>
          <w:lang w:eastAsia="en-US"/>
        </w:rPr>
        <w:t>л.д</w:t>
      </w:r>
      <w:r w:rsidRPr="006120FD">
        <w:rPr>
          <w:rFonts w:eastAsia="Calibri"/>
          <w:lang w:eastAsia="en-US"/>
        </w:rPr>
        <w:t>. 8).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В материалы дела представителем истца также представлен кадастровый паспорт земельного участка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., в котором площадь земельного участка, расположенного по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 xml:space="preserve">указана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>кв.м</w:t>
      </w:r>
      <w:r w:rsidRPr="006120FD">
        <w:rPr>
          <w:rFonts w:ascii="Times New Roman" w:hAnsi="Times New Roman" w:cs="Times New Roman"/>
          <w:sz w:val="24"/>
          <w:szCs w:val="24"/>
        </w:rPr>
        <w:t xml:space="preserve">., в графе 6 указана дата внесения номера в государственный кадастр недвижимости – 18.05.2006 г., в графе 13 правообладателем указаны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20FD">
        <w:rPr>
          <w:rFonts w:ascii="Times New Roman" w:hAnsi="Times New Roman" w:cs="Times New Roman"/>
          <w:sz w:val="24"/>
          <w:szCs w:val="24"/>
        </w:rPr>
        <w:t xml:space="preserve"> Журавлева Ю.С., </w:t>
      </w:r>
      <w:r w:rsidRPr="006120FD">
        <w:rPr>
          <w:rFonts w:ascii="Times New Roman" w:hAnsi="Times New Roman" w:cs="Times New Roman"/>
          <w:sz w:val="24"/>
          <w:szCs w:val="24"/>
        </w:rPr>
        <w:t>документом</w:t>
      </w:r>
      <w:r w:rsidRPr="006120FD">
        <w:rPr>
          <w:rFonts w:ascii="Times New Roman" w:hAnsi="Times New Roman" w:cs="Times New Roman"/>
          <w:sz w:val="24"/>
          <w:szCs w:val="24"/>
        </w:rPr>
        <w:t xml:space="preserve"> на основании которого была внесена запись является государственный акт на право собственности на земельный участок от 18.05.2006 г. серии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>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С целью проверки доводов представителя истца, мировым судьей были истребованы для обозрения материалы технической инвентаризации в отношении домовладения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>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Как следует из представленного на обозрение инвентарного дела жилого дома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,  вступившими в законную силу решениями Центрального районного суда г. Симферополя от 19.11.2010 г. и Апелляционного суда АР Крым от 09.02.2011 г.  прекращено право общей долевой собственности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на домовладение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между сособственниками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(1/4 доли), Журавлевой Ю.С. (1/4 доли),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(1/2 доли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определен порядок пользования земельным участком: </w:t>
      </w:r>
      <w:r>
        <w:rPr>
          <w:rFonts w:ascii="Times New Roman" w:hAnsi="Times New Roman" w:cs="Times New Roman"/>
          <w:sz w:val="24"/>
          <w:szCs w:val="24"/>
        </w:rPr>
        <w:t xml:space="preserve">«данные </w:t>
      </w:r>
      <w:r>
        <w:rPr>
          <w:rFonts w:ascii="Times New Roman" w:hAnsi="Times New Roman" w:cs="Times New Roman"/>
          <w:sz w:val="24"/>
          <w:szCs w:val="24"/>
        </w:rPr>
        <w:t>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выделено в пользование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>кв.м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., Журавлевой Ю.С. выделено в пользование земельный участок, площадью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>кв.м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выделено в пользование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>кв.м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., также выделено в общее пользование Журавлевой Ю.С. и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>кв.м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120FD">
        <w:rPr>
          <w:rFonts w:ascii="Times New Roman" w:eastAsia="Calibri" w:hAnsi="Times New Roman" w:cs="Times New Roman"/>
          <w:sz w:val="24"/>
          <w:szCs w:val="24"/>
        </w:rPr>
        <w:t>в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>равных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>долях.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г. Симферополя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от 30.09.2015 объекту недвижимого имущества жилому дому под литер «Б» и земельному участку площадью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га, выделенному в пользование собственнику жилого дома лит «Б» -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присвоен самостоятельный адрес: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Указанное постановление Администрации г. Симферополя в установленном порядке не оспорено и недействительным не признано.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120FD">
        <w:rPr>
          <w:rFonts w:ascii="Times New Roman" w:hAnsi="Times New Roman"/>
          <w:sz w:val="24"/>
          <w:szCs w:val="24"/>
        </w:rPr>
        <w:t xml:space="preserve">По заявлению собственника домовладения под </w:t>
      </w:r>
      <w:r w:rsidRPr="006120FD">
        <w:rPr>
          <w:rFonts w:ascii="Times New Roman" w:hAnsi="Times New Roman"/>
          <w:sz w:val="24"/>
          <w:szCs w:val="24"/>
        </w:rPr>
        <w:t>лит</w:t>
      </w:r>
      <w:r w:rsidRPr="006120FD">
        <w:rPr>
          <w:rFonts w:ascii="Times New Roman" w:hAnsi="Times New Roman"/>
          <w:sz w:val="24"/>
          <w:szCs w:val="24"/>
        </w:rPr>
        <w:t>. «Б» произведен</w:t>
      </w:r>
      <w:r>
        <w:rPr>
          <w:rFonts w:ascii="Times New Roman" w:hAnsi="Times New Roman"/>
          <w:sz w:val="24"/>
          <w:szCs w:val="24"/>
        </w:rPr>
        <w:t xml:space="preserve">а расшивка инвентарного дела №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 xml:space="preserve"> (на домовладение по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 xml:space="preserve">). Сведения по домовладению, расположенному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0FD">
        <w:rPr>
          <w:rFonts w:ascii="Times New Roman" w:hAnsi="Times New Roman"/>
          <w:sz w:val="24"/>
          <w:szCs w:val="24"/>
        </w:rPr>
        <w:t>остались в инвентарном деле с прежним номером.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120FD">
        <w:rPr>
          <w:rFonts w:ascii="Times New Roman" w:hAnsi="Times New Roman"/>
          <w:sz w:val="24"/>
          <w:szCs w:val="24"/>
        </w:rPr>
        <w:t xml:space="preserve">На домовладение, расположенное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0FD">
        <w:rPr>
          <w:rFonts w:ascii="Times New Roman" w:hAnsi="Times New Roman"/>
          <w:sz w:val="24"/>
          <w:szCs w:val="24"/>
        </w:rPr>
        <w:t xml:space="preserve">сформировано новое инвентарное дело, которому присвоен №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 xml:space="preserve"> и перенесены учетно-технические сведения по объекту недвижимого имущества-домовладению и сведения о площади земельного участка, расположенные по указанному адресу.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120FD">
        <w:rPr>
          <w:rFonts w:ascii="Times New Roman" w:hAnsi="Times New Roman"/>
          <w:sz w:val="24"/>
          <w:szCs w:val="24"/>
        </w:rPr>
        <w:t xml:space="preserve">Как пояснила техник филиала ГУП РК «Крым БТИ» г. Симферополя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 xml:space="preserve">, допрошенная в судебном заседании в качестве свидетеля, технический паспорт от 30.10.2015 г. изготавливался ею после расшивки инвентарных дел. В связи с чем, на момент обращения представителя истца в БТИ, площадь земельного участка, выделенная под объект недвижимого имущества, расположенного по адресу: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0FD">
        <w:rPr>
          <w:rFonts w:ascii="Times New Roman" w:hAnsi="Times New Roman"/>
          <w:sz w:val="24"/>
          <w:szCs w:val="24"/>
        </w:rPr>
        <w:t xml:space="preserve">уменьшилась на размер площади земельного участка, которому присвоен адрес: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/>
          <w:sz w:val="24"/>
          <w:szCs w:val="24"/>
        </w:rPr>
        <w:t xml:space="preserve">. </w:t>
      </w:r>
      <w:r w:rsidRPr="006120FD">
        <w:rPr>
          <w:rFonts w:ascii="Times New Roman" w:eastAsia="Calibri" w:hAnsi="Times New Roman"/>
          <w:sz w:val="24"/>
          <w:szCs w:val="24"/>
        </w:rPr>
        <w:t xml:space="preserve">Условные границы в техническом паспорте от 30.10.2015 г. указаны прерывистой линией по пояснениям представителя истицы и по имеющейся в инвентарном деле информации о разделе инвентарных дел. 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0FD">
        <w:rPr>
          <w:rFonts w:ascii="Times New Roman" w:eastAsia="Calibri" w:hAnsi="Times New Roman" w:cs="Times New Roman"/>
          <w:sz w:val="24"/>
          <w:szCs w:val="24"/>
        </w:rPr>
        <w:t>Как пояснил в судебном заседании предст</w:t>
      </w:r>
      <w:r w:rsidRPr="006120FD">
        <w:rPr>
          <w:rFonts w:ascii="Times New Roman" w:hAnsi="Times New Roman" w:cs="Times New Roman"/>
          <w:sz w:val="24"/>
          <w:szCs w:val="24"/>
        </w:rPr>
        <w:t xml:space="preserve">авитель истца Журавлев С.А., при постановке на кадастровый учет,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органу, осуществляющему постановку на кадастровый учет, были предоставлены технический паспорт на домовладение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120FD">
        <w:rPr>
          <w:rFonts w:ascii="Times New Roman" w:hAnsi="Times New Roman" w:cs="Times New Roman"/>
          <w:color w:val="000000"/>
          <w:sz w:val="24"/>
          <w:szCs w:val="24"/>
        </w:rPr>
        <w:t xml:space="preserve">05.09.2008 г. 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и государственный акт на земельный участок 2006 года. </w:t>
      </w:r>
    </w:p>
    <w:p w:rsidR="006120FD" w:rsidRPr="006120FD" w:rsidP="00612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Технический паспорт, изготовленный ответчиком по состоянию на 30.10.2015 года, представителем истца в регистрирующий орган при постановке объекта на кадастровый учет не предоставлялся. 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Кроме того, представитель истца подтвердил, что объект – домовладение и земельный участок, расположенные по адресу: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eastAsia="Calibri" w:hAnsi="Times New Roman" w:cs="Times New Roman"/>
          <w:sz w:val="24"/>
          <w:szCs w:val="24"/>
        </w:rPr>
        <w:t xml:space="preserve"> поставлены на учет, как ранее учтенные по правоустанавливающим и техническим документам, изготовленным до вступления Республики Крым в состав Российской Федерации. 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120FD">
        <w:rPr>
          <w:rFonts w:ascii="Times New Roman" w:hAnsi="Times New Roman"/>
          <w:sz w:val="24"/>
          <w:szCs w:val="24"/>
        </w:rPr>
        <w:t xml:space="preserve">Таким </w:t>
      </w:r>
      <w:r w:rsidRPr="006120FD">
        <w:rPr>
          <w:rFonts w:ascii="Times New Roman" w:hAnsi="Times New Roman"/>
          <w:sz w:val="24"/>
          <w:szCs w:val="24"/>
        </w:rPr>
        <w:t>образом</w:t>
      </w:r>
      <w:r w:rsidRPr="006120FD">
        <w:rPr>
          <w:rFonts w:ascii="Times New Roman" w:hAnsi="Times New Roman"/>
          <w:sz w:val="24"/>
          <w:szCs w:val="24"/>
        </w:rPr>
        <w:t xml:space="preserve"> представителем истца не представлено доказательств </w:t>
      </w:r>
      <w:r w:rsidRPr="006120FD">
        <w:rPr>
          <w:rFonts w:ascii="Times New Roman" w:eastAsia="Calibri" w:hAnsi="Times New Roman"/>
          <w:sz w:val="24"/>
          <w:szCs w:val="24"/>
        </w:rPr>
        <w:t>о нарушении спорным техническим паспортом каких бы то ни было прав истца.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Обращаясь с настоящим иском, представитель истца указал, что в изготовленном ответчиком техническом паспорте выявлены следующие недостатки: площадь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6120FD">
        <w:rPr>
          <w:rFonts w:ascii="Times New Roman" w:hAnsi="Times New Roman" w:cs="Times New Roman"/>
          <w:sz w:val="24"/>
          <w:szCs w:val="24"/>
        </w:rPr>
        <w:t xml:space="preserve"> уменьшена на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>кв.м</w:t>
      </w:r>
      <w:r w:rsidRPr="006120FD">
        <w:rPr>
          <w:rFonts w:ascii="Times New Roman" w:hAnsi="Times New Roman" w:cs="Times New Roman"/>
          <w:sz w:val="24"/>
          <w:szCs w:val="24"/>
        </w:rPr>
        <w:t>., изменилась его конфигурация, а также замеры внутренних площадей кухни-столовой не соответствует действительности, ввиду чего просил признать указанную техническую документацию недействительной.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Между тем, по смыслу приведенных выше норм, технический паспорт на объект недвижимости - это документ, который выдается БТИ и содержит в себе все технические характеристики помещения. Технический паспорт не влечет возникновения или прекращения прав и обязанностей, а представляет собой результат технической работы по осмотру и измерению объекта, его техническому описанию, предназначен для информационного обеспечения компетентных органов, контроля в сфере градостроительной деятельности или статистического учета.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Таким образом, технический паспорт на жилое помещение не является правоустанавливающим документом, в связи с чем, не может повлечь юридических последствий для истца, то есть не является основанием возникновения каких-либо прав, подлежащих судебной защите, а потому в рамках </w:t>
      </w:r>
      <w:r>
        <w:fldChar w:fldCharType="begin"/>
      </w:r>
      <w:r>
        <w:instrText xml:space="preserve"> HYPERLINK "consultantplus://offline/ref=E310869DFA76498C8110E801201132358893E8B2AB43536BB8ECE760D9EF120FA92591E7DBD1DB8Bm5m9X"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3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ГПК РФ, ввиду отсутствия нарушения подобных прав Журавлевой Ю.С., мировой судья приходит к выводу об отсутствии оснований для удовлетворения указанных</w:t>
      </w:r>
      <w:r w:rsidRPr="006120FD"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Что касается исковых требований о возложении на ответчика обязанности вернуть оплаченную сумму за оказанную услугу в размере 7657 руб., а также о взыскании с ответчика в счет компенсации морального вреда 10000 руб., штрафа на основании Закона РФ «О защите прав потребителей» за отказ добровольного </w:t>
      </w:r>
      <w:r w:rsidRPr="006120FD">
        <w:rPr>
          <w:rFonts w:ascii="Times New Roman" w:hAnsi="Times New Roman" w:cs="Times New Roman"/>
          <w:sz w:val="24"/>
          <w:szCs w:val="24"/>
        </w:rPr>
        <w:t>удовлетворения исковых требований, то данные требования также не подлежат удовлетворению мировым судьей по следующим основаниям.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РФ «</w:t>
      </w:r>
      <w:r w:rsidRPr="006120F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6120FD">
        <w:rPr>
          <w:rStyle w:val="snippetequal"/>
          <w:bCs/>
          <w:sz w:val="24"/>
          <w:szCs w:val="24"/>
          <w:bdr w:val="none" w:sz="0" w:space="0" w:color="auto" w:frame="1"/>
        </w:rPr>
        <w:t>О</w:t>
      </w:r>
      <w:r w:rsidRPr="006120F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6120FD">
        <w:rPr>
          <w:rStyle w:val="snippetequal"/>
          <w:bCs/>
          <w:sz w:val="24"/>
          <w:szCs w:val="24"/>
          <w:bdr w:val="none" w:sz="0" w:space="0" w:color="auto" w:frame="1"/>
        </w:rPr>
        <w:t>защите</w:t>
      </w:r>
      <w:r w:rsidRPr="006120F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6120FD">
        <w:rPr>
          <w:rStyle w:val="snippetequal"/>
          <w:bCs/>
          <w:sz w:val="24"/>
          <w:szCs w:val="24"/>
          <w:bdr w:val="none" w:sz="0" w:space="0" w:color="auto" w:frame="1"/>
        </w:rPr>
        <w:t>прав</w:t>
      </w:r>
      <w:r w:rsidRPr="006120F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6120FD">
        <w:rPr>
          <w:rStyle w:val="snippetequal"/>
          <w:bCs/>
          <w:sz w:val="24"/>
          <w:szCs w:val="24"/>
          <w:bdr w:val="none" w:sz="0" w:space="0" w:color="auto" w:frame="1"/>
        </w:rPr>
        <w:t>потребителей</w:t>
      </w:r>
      <w:r w:rsidRPr="006120F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» к исполнителям отнесены организации независимо от ее организационно-правовой формы, а также индивидуальные предприниматели, выполняющие работы или оказывающие</w:t>
      </w:r>
      <w:r w:rsidRPr="006120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20FD">
        <w:rPr>
          <w:rStyle w:val="snippetequal"/>
          <w:bCs/>
          <w:sz w:val="24"/>
          <w:szCs w:val="24"/>
          <w:bdr w:val="none" w:sz="0" w:space="0" w:color="auto" w:frame="1"/>
        </w:rPr>
        <w:t>услуги</w:t>
      </w:r>
      <w:r w:rsidRPr="006120F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6120FD">
        <w:rPr>
          <w:rStyle w:val="snippetequal"/>
          <w:bCs/>
          <w:sz w:val="24"/>
          <w:szCs w:val="24"/>
          <w:bdr w:val="none" w:sz="0" w:space="0" w:color="auto" w:frame="1"/>
        </w:rPr>
        <w:t>потребителям</w:t>
      </w:r>
      <w:r w:rsidRPr="006120FD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по возмездному договору.</w:t>
      </w:r>
      <w:r w:rsidRPr="006120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"consultantplus://offline/ref=4BA96246D1F4BCA5B42722B64927711BFE8D286D6FAA807B25C56D26B93538506D0105D26CCEF893w872S"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4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Закона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 В соответствии со </w:t>
      </w:r>
      <w:r>
        <w:fldChar w:fldCharType="begin"/>
      </w:r>
      <w:r>
        <w:instrText xml:space="preserve"> HYPERLINK "consultantplus://offline/ref=4BA96246D1F4BCA5B42722B64927711BFE8D286D6FAA807B25C56D26B93538506D0105D26CCEFA91w87FS"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</w:rPr>
        <w:t>ст. 29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</w:rPr>
        <w:t xml:space="preserve"> настоящего закона 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Доводы представителя истца о том, что площадь земельного участка, его конфигурация, а также замеры внутренних площадей кухни-столовой </w:t>
      </w:r>
      <w:r w:rsidRPr="006120FD">
        <w:rPr>
          <w:rFonts w:ascii="Times New Roman" w:hAnsi="Times New Roman" w:cs="Times New Roman"/>
          <w:sz w:val="24"/>
          <w:szCs w:val="24"/>
        </w:rPr>
        <w:t>под</w:t>
      </w:r>
      <w:r w:rsidRPr="006120FD">
        <w:rPr>
          <w:rFonts w:ascii="Times New Roman" w:hAnsi="Times New Roman" w:cs="Times New Roman"/>
          <w:sz w:val="24"/>
          <w:szCs w:val="24"/>
        </w:rPr>
        <w:t xml:space="preserve"> лит. А</w:t>
      </w:r>
      <w:r w:rsidRPr="006120FD">
        <w:rPr>
          <w:rFonts w:ascii="Times New Roman" w:hAnsi="Times New Roman" w:cs="Times New Roman"/>
          <w:sz w:val="24"/>
          <w:szCs w:val="24"/>
        </w:rPr>
        <w:t>2</w:t>
      </w:r>
      <w:r w:rsidRPr="006120FD">
        <w:rPr>
          <w:rFonts w:ascii="Times New Roman" w:hAnsi="Times New Roman" w:cs="Times New Roman"/>
          <w:sz w:val="24"/>
          <w:szCs w:val="24"/>
        </w:rPr>
        <w:t>, указанные в техническом паспорте от 30.10.2015 г. не соответствует действительности, не нашли своего подтверждения в ходе рассмотрения дела.</w:t>
      </w:r>
    </w:p>
    <w:p w:rsidR="006120FD" w:rsidRPr="006120FD" w:rsidP="00612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Как установлено при рассмотрении дела, ответчиком выполнены работы по договору №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FD">
        <w:rPr>
          <w:rFonts w:ascii="Times New Roman" w:hAnsi="Times New Roman" w:cs="Times New Roman"/>
          <w:sz w:val="24"/>
          <w:szCs w:val="24"/>
        </w:rPr>
        <w:t>от  26.10.2015 г. в полном объеме, а именно, в соответствии с указанным договором ответчиком был изготовлен технический паспорт на домовладение истца, каких-либо доказательств, что изготовленный работниками БТИ технический план не соответствует предъявляемым требованиям, представителем истца не представлено.</w:t>
      </w:r>
    </w:p>
    <w:p w:rsidR="006120FD" w:rsidRPr="006120FD" w:rsidP="006120FD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6120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 исковые требования представителя Журавлевой Ю.С. удовлетворению не подлежат.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изложенного, руководствуясь ст. ст.</w:t>
      </w:r>
      <w:r w:rsidRPr="006120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</w:rPr>
        <w:t>194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</w:rPr>
        <w:t>199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120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"http://sudact.ru/law/gpk-rf/razdel-ii/podrazdel-ii/glava-22/statia-233/?marker=fdoctlaw" \o "ГПК РФ &gt;  Раздел II. Производство в суде первой инстанции &gt; Подраздел II. Исковое производство &gt; Глава 22. Заочное производство &gt; Статья 233. Основания для заочного производства" \t "_blank"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</w:rPr>
        <w:t>233</w:t>
      </w:r>
      <w:r>
        <w:fldChar w:fldCharType="end"/>
      </w: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 w:rsidRPr="006120FD">
        <w:rPr>
          <w:rStyle w:val="Hyperlink"/>
          <w:rFonts w:ascii="Times New Roman" w:hAnsi="Times New Roman" w:cs="Times New Roman"/>
          <w:sz w:val="24"/>
          <w:szCs w:val="24"/>
          <w:bdr w:val="none" w:sz="0" w:space="0" w:color="auto" w:frame="1"/>
        </w:rPr>
        <w:t>237</w:t>
      </w:r>
      <w:r>
        <w:fldChar w:fldCharType="end"/>
      </w:r>
      <w:r w:rsidRPr="006120F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20FD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Гражданского процессуального кодекса Российской Федерации, мировой судья,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FD" w:rsidRPr="006120FD" w:rsidP="006120F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РЕШИЛ: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В удовлетворении исковых требований представителя Журавлёвой Юлии Сергеевны к Государственному унитарному предприятию «Крым БТИ» в лице филиала Государственного унитарного предприятия Республики Крым «Крым БТИ» в г. Симферополе о признании технического паспорта недействительным, взыскании уплаченных денежных средств за изготовление технического паспорта, компенсации морального вреда, штрафа, отказать.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FD">
        <w:rPr>
          <w:rFonts w:ascii="Times New Roman" w:hAnsi="Times New Roman" w:cs="Times New Roman"/>
          <w:sz w:val="24"/>
          <w:szCs w:val="24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6120FD">
        <w:rPr>
          <w:rFonts w:ascii="Times New Roman" w:hAnsi="Times New Roman" w:cs="Times New Roman"/>
          <w:sz w:val="24"/>
          <w:szCs w:val="24"/>
        </w:rPr>
        <w:t>судебного района г. Симферополь (Центральный район городского округа Симферополя)</w:t>
      </w:r>
      <w:r w:rsidRPr="006120FD">
        <w:rPr>
          <w:rFonts w:ascii="Times New Roman" w:hAnsi="Times New Roman" w:cs="Times New Roman"/>
          <w:bCs/>
          <w:sz w:val="24"/>
          <w:szCs w:val="24"/>
        </w:rPr>
        <w:t xml:space="preserve"> в течение месяца со дня его принятия в окончательной форме.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Решение суда принято в окончательной форме 31 мая 2017 года.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9A2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0FD">
        <w:rPr>
          <w:rFonts w:ascii="Times New Roman" w:hAnsi="Times New Roman" w:cs="Times New Roman"/>
          <w:sz w:val="24"/>
          <w:szCs w:val="24"/>
        </w:rPr>
        <w:t>Мировой судья</w:t>
      </w:r>
      <w:r w:rsidRPr="006120FD">
        <w:rPr>
          <w:rFonts w:ascii="Times New Roman" w:hAnsi="Times New Roman" w:cs="Times New Roman"/>
          <w:sz w:val="24"/>
          <w:szCs w:val="24"/>
        </w:rPr>
        <w:tab/>
      </w:r>
      <w:r w:rsidRPr="006120FD">
        <w:rPr>
          <w:rFonts w:ascii="Times New Roman" w:hAnsi="Times New Roman" w:cs="Times New Roman"/>
          <w:sz w:val="24"/>
          <w:szCs w:val="24"/>
        </w:rPr>
        <w:tab/>
      </w:r>
      <w:r w:rsidRPr="006120FD">
        <w:rPr>
          <w:rFonts w:ascii="Times New Roman" w:hAnsi="Times New Roman" w:cs="Times New Roman"/>
          <w:sz w:val="24"/>
          <w:szCs w:val="24"/>
        </w:rPr>
        <w:tab/>
      </w:r>
      <w:r w:rsidRPr="006120FD">
        <w:rPr>
          <w:rFonts w:ascii="Times New Roman" w:hAnsi="Times New Roman" w:cs="Times New Roman"/>
          <w:sz w:val="24"/>
          <w:szCs w:val="24"/>
        </w:rPr>
        <w:tab/>
      </w:r>
      <w:r w:rsidRPr="006120FD">
        <w:rPr>
          <w:rFonts w:ascii="Times New Roman" w:hAnsi="Times New Roman" w:cs="Times New Roman"/>
          <w:sz w:val="24"/>
          <w:szCs w:val="24"/>
        </w:rPr>
        <w:tab/>
      </w:r>
      <w:r w:rsidRPr="006120FD">
        <w:rPr>
          <w:rFonts w:ascii="Times New Roman" w:hAnsi="Times New Roman" w:cs="Times New Roman"/>
          <w:sz w:val="24"/>
          <w:szCs w:val="24"/>
        </w:rPr>
        <w:tab/>
      </w:r>
      <w:r w:rsidRPr="006120FD">
        <w:rPr>
          <w:rFonts w:ascii="Times New Roman" w:hAnsi="Times New Roman" w:cs="Times New Roman"/>
          <w:sz w:val="24"/>
          <w:szCs w:val="24"/>
        </w:rPr>
        <w:t>Чепиль</w:t>
      </w:r>
      <w:r w:rsidRPr="006120F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120FD" w:rsidRPr="006120FD" w:rsidP="006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3215" w:rsidP="00583215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A74C06" w:rsidP="00A74C06">
      <w:pPr>
        <w:shd w:val="clear" w:color="auto" w:fill="FFFFFF"/>
        <w:ind w:right="53"/>
        <w:contextualSpacing/>
        <w:jc w:val="both"/>
      </w:pPr>
    </w:p>
    <w:p w:rsidR="00B10B2F"/>
    <w:sectPr w:rsidSect="00A31CDF">
      <w:headerReference w:type="first" r:id="rId4"/>
      <w:footerReference w:type="first" r:id="rId5"/>
      <w:pgSz w:w="11907" w:h="16839"/>
      <w:pgMar w:top="993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