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5D6" w:rsidP="00BA41D3">
      <w:pPr>
        <w:rPr>
          <w:sz w:val="26"/>
          <w:szCs w:val="26"/>
        </w:rPr>
      </w:pPr>
    </w:p>
    <w:p w:rsidR="003725D6" w:rsidP="003725D6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>
        <w:rPr>
          <w:sz w:val="28"/>
          <w:szCs w:val="28"/>
        </w:rPr>
        <w:t>02-0101/16/2024</w:t>
      </w:r>
    </w:p>
    <w:p w:rsidR="003725D6" w:rsidP="003725D6">
      <w:pPr>
        <w:ind w:firstLine="567"/>
        <w:jc w:val="both"/>
        <w:rPr>
          <w:sz w:val="28"/>
          <w:szCs w:val="28"/>
        </w:rPr>
      </w:pPr>
    </w:p>
    <w:p w:rsidR="003725D6" w:rsidP="003725D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725D6" w:rsidP="003725D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3725D6" w:rsidP="003725D6">
      <w:pPr>
        <w:ind w:firstLine="567"/>
        <w:jc w:val="both"/>
        <w:rPr>
          <w:sz w:val="28"/>
          <w:szCs w:val="28"/>
        </w:rPr>
      </w:pPr>
    </w:p>
    <w:p w:rsidR="003725D6" w:rsidP="003725D6">
      <w:pPr>
        <w:ind w:firstLine="567"/>
        <w:rPr>
          <w:sz w:val="28"/>
          <w:szCs w:val="28"/>
        </w:rPr>
      </w:pPr>
      <w:r>
        <w:rPr>
          <w:sz w:val="28"/>
          <w:szCs w:val="28"/>
        </w:rPr>
        <w:t>9 апреля 2024 года</w:t>
      </w: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                г. Симферополь</w:t>
      </w:r>
    </w:p>
    <w:p w:rsidR="003725D6" w:rsidP="003725D6">
      <w:pPr>
        <w:ind w:firstLine="567"/>
        <w:jc w:val="both"/>
        <w:rPr>
          <w:sz w:val="28"/>
          <w:szCs w:val="28"/>
        </w:rPr>
      </w:pPr>
    </w:p>
    <w:p w:rsidR="003725D6" w:rsidP="003725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rFonts w:eastAsia="Calibri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</w:t>
      </w:r>
      <w:r>
        <w:rPr>
          <w:rFonts w:eastAsia="Calibri"/>
          <w:sz w:val="28"/>
          <w:szCs w:val="28"/>
        </w:rPr>
        <w:t>го округа Симферополь) Республики Крым – Ильгова К.Ю.</w:t>
      </w:r>
      <w:r>
        <w:rPr>
          <w:sz w:val="28"/>
          <w:szCs w:val="28"/>
        </w:rPr>
        <w:t xml:space="preserve">, </w:t>
      </w:r>
    </w:p>
    <w:p w:rsidR="003725D6" w:rsidP="003725D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ведении протокола </w:t>
      </w:r>
      <w:r>
        <w:rPr>
          <w:sz w:val="28"/>
          <w:szCs w:val="28"/>
        </w:rPr>
        <w:t xml:space="preserve">судебного заседания </w:t>
      </w:r>
      <w:r>
        <w:rPr>
          <w:color w:val="000000" w:themeColor="text1"/>
          <w:sz w:val="28"/>
          <w:szCs w:val="28"/>
        </w:rPr>
        <w:t xml:space="preserve">и аудиопротоколирования секретарем судебного заседания - Капустиным Д.В., </w:t>
      </w:r>
    </w:p>
    <w:p w:rsidR="003725D6" w:rsidP="003725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в помещении мировых судей, расположенном п</w:t>
      </w:r>
      <w:r>
        <w:rPr>
          <w:sz w:val="28"/>
          <w:szCs w:val="28"/>
        </w:rPr>
        <w:t>о адресу: г. Симферополь, ул. Крымских Партизан, 3а, гражданское дело по исковому заявлению Вартановой Татьяны Сергеевны к Аузяк Николаю Ивановичу о взыскании,</w:t>
      </w:r>
    </w:p>
    <w:p w:rsidR="003725D6" w:rsidP="003725D6">
      <w:pPr>
        <w:ind w:firstLine="567"/>
        <w:jc w:val="both"/>
        <w:rPr>
          <w:sz w:val="28"/>
          <w:szCs w:val="28"/>
        </w:rPr>
      </w:pPr>
    </w:p>
    <w:p w:rsidR="003725D6" w:rsidRPr="0015563D" w:rsidP="003725D6">
      <w:pPr>
        <w:pStyle w:val="ConsPlusNormal"/>
        <w:jc w:val="center"/>
        <w:rPr>
          <w:sz w:val="28"/>
          <w:szCs w:val="28"/>
        </w:rPr>
      </w:pPr>
      <w:r w:rsidRPr="0015563D">
        <w:rPr>
          <w:sz w:val="28"/>
          <w:szCs w:val="28"/>
        </w:rPr>
        <w:t>установил:</w:t>
      </w:r>
    </w:p>
    <w:p w:rsidR="003725D6" w:rsidRPr="0015563D" w:rsidP="003725D6">
      <w:pPr>
        <w:pStyle w:val="ConsPlusNormal"/>
        <w:jc w:val="center"/>
        <w:rPr>
          <w:sz w:val="28"/>
          <w:szCs w:val="28"/>
        </w:rPr>
      </w:pPr>
    </w:p>
    <w:p w:rsidR="003725D6" w:rsidP="003725D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11.03.2024 Вартанова Т.С. </w:t>
      </w:r>
      <w:r w:rsidRPr="0015563D">
        <w:rPr>
          <w:sz w:val="28"/>
          <w:szCs w:val="28"/>
        </w:rPr>
        <w:t>обратил</w:t>
      </w:r>
      <w:r>
        <w:rPr>
          <w:sz w:val="28"/>
          <w:szCs w:val="28"/>
        </w:rPr>
        <w:t xml:space="preserve">ась </w:t>
      </w:r>
      <w:r w:rsidRPr="0015563D">
        <w:rPr>
          <w:sz w:val="28"/>
          <w:szCs w:val="28"/>
        </w:rPr>
        <w:t xml:space="preserve">в суд с исковым заявлением к </w:t>
      </w:r>
      <w:r>
        <w:rPr>
          <w:sz w:val="28"/>
          <w:szCs w:val="28"/>
        </w:rPr>
        <w:t>Аузяк</w:t>
      </w:r>
      <w:r>
        <w:rPr>
          <w:sz w:val="28"/>
          <w:szCs w:val="28"/>
        </w:rPr>
        <w:t xml:space="preserve"> Н.И. с требованием о взыскании уплаченного по договору поручения вознаграждения в размере 5000 рублей, мотивируя исковые требования тем, что 15.08.2019 между сторонами в устной форме был заключен договор поручения, согласно которому Вартанова Т.С. поручил</w:t>
      </w:r>
      <w:r>
        <w:rPr>
          <w:sz w:val="28"/>
          <w:szCs w:val="28"/>
        </w:rPr>
        <w:t xml:space="preserve">а, а Аузяк Н.И. выразил согласие совершить от имени истца определенные юридические действия – направить в адрес администрации г. Феодосия заказным письмом акт приема-передачи земельного участка с кадастровым номером </w:t>
      </w:r>
      <w:r w:rsidRPr="00EF04D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находящегося по адресу: </w:t>
      </w:r>
      <w:r w:rsidRPr="00EF04D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за выполнение которых ответчику выплачено вознаграждение в размере 5000 рублей. Однако, ответчик поручение не выполнил, в связи с чем в его адрес истцом направлен</w:t>
      </w:r>
      <w:r w:rsidR="00961B89">
        <w:rPr>
          <w:sz w:val="28"/>
          <w:szCs w:val="28"/>
        </w:rPr>
        <w:t xml:space="preserve">а претензия, по результату рассмотрения которой ответчик отказался вернуть уплаченные денежные средства, что стало основанием для обращения истца в суд.   </w:t>
      </w:r>
      <w:r>
        <w:rPr>
          <w:sz w:val="28"/>
          <w:szCs w:val="28"/>
        </w:rPr>
        <w:t xml:space="preserve"> </w:t>
      </w:r>
    </w:p>
    <w:p w:rsidR="00961B89" w:rsidP="003725D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Истец </w:t>
      </w:r>
      <w:r w:rsidR="00F106B5">
        <w:rPr>
          <w:sz w:val="28"/>
          <w:szCs w:val="28"/>
        </w:rPr>
        <w:t xml:space="preserve">Вартанова Т.С. </w:t>
      </w:r>
      <w:r>
        <w:rPr>
          <w:sz w:val="28"/>
          <w:szCs w:val="28"/>
        </w:rPr>
        <w:t xml:space="preserve">в судебное заседание не явилась, о дате, времени и месте рассмотрения дела извещена надлежащим образом, </w:t>
      </w:r>
      <w:r>
        <w:rPr>
          <w:sz w:val="28"/>
          <w:szCs w:val="28"/>
        </w:rPr>
        <w:t>предоставила заявление, в котором просит рассмотреть дело в ее отсутствие по имеющимся доказательствам.</w:t>
      </w:r>
    </w:p>
    <w:p w:rsidR="00473AFA" w:rsidRPr="00371B6D" w:rsidP="003725D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Ответчик Аузяк</w:t>
      </w:r>
      <w:r>
        <w:rPr>
          <w:sz w:val="28"/>
          <w:szCs w:val="28"/>
        </w:rPr>
        <w:t xml:space="preserve"> Н.И. в судебном заседании исковые требования не признал, возражал против их удовлетворения по основаниям, изложенным в предоставленном отзыве на исковое заявление, копия которого получена истцом.</w:t>
      </w:r>
      <w:r w:rsidR="00475709">
        <w:rPr>
          <w:sz w:val="28"/>
          <w:szCs w:val="28"/>
        </w:rPr>
        <w:t xml:space="preserve"> Пояснил, что 15.08.2019 Вартановой Т.С. ему было поручено направить  в адрес администрации г. Феодосия заказным письмом акт приема-передачи земельного участка с кадастровым номером </w:t>
      </w:r>
      <w:r w:rsidRPr="00EF04D7">
        <w:rPr>
          <w:sz w:val="28"/>
          <w:szCs w:val="28"/>
        </w:rPr>
        <w:t>«данные изъяты»</w:t>
      </w:r>
      <w:r w:rsidR="00475709">
        <w:rPr>
          <w:sz w:val="28"/>
          <w:szCs w:val="28"/>
        </w:rPr>
        <w:t xml:space="preserve">, находящегося по адресу: </w:t>
      </w:r>
      <w:r w:rsidRPr="00EF04D7">
        <w:rPr>
          <w:sz w:val="28"/>
          <w:szCs w:val="28"/>
        </w:rPr>
        <w:t>«данные изъяты»</w:t>
      </w:r>
      <w:r w:rsidR="00475709">
        <w:rPr>
          <w:sz w:val="28"/>
          <w:szCs w:val="28"/>
        </w:rPr>
        <w:t xml:space="preserve">, за выполнение которых ответчику выплачено вознаграждение в размере 5000 рублей. </w:t>
      </w:r>
      <w:r w:rsidR="00475709">
        <w:rPr>
          <w:sz w:val="28"/>
          <w:szCs w:val="28"/>
        </w:rPr>
        <w:t xml:space="preserve">Указанной поручение он выполнил в </w:t>
      </w:r>
      <w:r w:rsidR="00475709">
        <w:rPr>
          <w:sz w:val="28"/>
          <w:szCs w:val="28"/>
        </w:rPr>
        <w:t xml:space="preserve">срок в полном объеме и с надлежащим качеством, </w:t>
      </w:r>
      <w:r w:rsidRPr="00371B6D" w:rsidR="00475709">
        <w:rPr>
          <w:sz w:val="28"/>
          <w:szCs w:val="28"/>
        </w:rPr>
        <w:t xml:space="preserve">- в тот же день направил указанный акт, что подтверждается чеком ФГУП «Почта Крыма» от 15.08.2019, уведомлением о вручении почтового отправления с отметкой о получении Администрацией г. Феодосия указанного отправления 19.08.2019, а также отчетом об отслеживании отправления с почтовым идентификатором </w:t>
      </w:r>
      <w:r w:rsidRPr="00EF04D7">
        <w:rPr>
          <w:sz w:val="28"/>
          <w:szCs w:val="28"/>
        </w:rPr>
        <w:t>«данные изъяты»</w:t>
      </w:r>
      <w:r w:rsidRPr="00371B6D" w:rsidR="00475709">
        <w:rPr>
          <w:sz w:val="28"/>
          <w:szCs w:val="28"/>
        </w:rPr>
        <w:t>.</w:t>
      </w:r>
      <w:r w:rsidRPr="00371B6D" w:rsidR="00475709">
        <w:rPr>
          <w:sz w:val="28"/>
          <w:szCs w:val="28"/>
        </w:rPr>
        <w:t xml:space="preserve"> От исполнения поручения Вартановой Т.С. он не отказывался,  выполнил его, в связи с чем основания возврата денежных средств в сумме 5000 рублей отсутствуют. </w:t>
      </w:r>
    </w:p>
    <w:p w:rsidR="00BA24E5" w:rsidRPr="00371B6D" w:rsidP="003725D6">
      <w:pPr>
        <w:pStyle w:val="ConsPlusNormal"/>
        <w:ind w:firstLine="540"/>
        <w:jc w:val="both"/>
        <w:rPr>
          <w:sz w:val="28"/>
          <w:szCs w:val="28"/>
        </w:rPr>
      </w:pPr>
      <w:r w:rsidRPr="00371B6D">
        <w:rPr>
          <w:sz w:val="28"/>
          <w:szCs w:val="28"/>
        </w:rPr>
        <w:t xml:space="preserve">Допрошенный в судебном заседании по ходатайству ответчика свидетель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1</w:t>
      </w:r>
      <w:r w:rsidRPr="00371B6D">
        <w:rPr>
          <w:sz w:val="28"/>
          <w:szCs w:val="28"/>
        </w:rPr>
        <w:t xml:space="preserve"> показал, что поручение Вартановой Т.С. Аузяк Н.И. выполнил в полном объеме, </w:t>
      </w:r>
      <w:r w:rsidRPr="00371B6D">
        <w:rPr>
          <w:sz w:val="28"/>
          <w:szCs w:val="28"/>
        </w:rPr>
        <w:t>что подтверждается извещением о том, что администрация г. Феодоси</w:t>
      </w:r>
      <w:r w:rsidRPr="00371B6D" w:rsidR="007A635B">
        <w:rPr>
          <w:sz w:val="28"/>
          <w:szCs w:val="28"/>
        </w:rPr>
        <w:t>и</w:t>
      </w:r>
      <w:r w:rsidRPr="00371B6D">
        <w:rPr>
          <w:sz w:val="28"/>
          <w:szCs w:val="28"/>
        </w:rPr>
        <w:t xml:space="preserve"> получила отправленный Аузяк Н.И. по почте акт приема-передачи земельного участка с  кадастровым номером </w:t>
      </w:r>
      <w:r w:rsidRPr="00EF04D7">
        <w:rPr>
          <w:sz w:val="28"/>
          <w:szCs w:val="28"/>
        </w:rPr>
        <w:t>«данные изъяты»</w:t>
      </w:r>
      <w:r w:rsidRPr="00371B6D" w:rsidR="007A635B">
        <w:rPr>
          <w:sz w:val="28"/>
          <w:szCs w:val="28"/>
        </w:rPr>
        <w:t xml:space="preserve">, поскольку свидетель лично доставал указанное извещение из почтового ящика. </w:t>
      </w:r>
      <w:r w:rsidRPr="00371B6D">
        <w:rPr>
          <w:sz w:val="28"/>
          <w:szCs w:val="28"/>
        </w:rPr>
        <w:t xml:space="preserve">  </w:t>
      </w:r>
      <w:r w:rsidRPr="00371B6D" w:rsidR="00475709">
        <w:rPr>
          <w:sz w:val="28"/>
          <w:szCs w:val="28"/>
        </w:rPr>
        <w:t xml:space="preserve">  </w:t>
      </w:r>
      <w:r w:rsidRPr="00371B6D">
        <w:rPr>
          <w:sz w:val="28"/>
          <w:szCs w:val="28"/>
        </w:rPr>
        <w:t xml:space="preserve">  </w:t>
      </w:r>
    </w:p>
    <w:p w:rsidR="00C90812" w:rsidRPr="00371B6D" w:rsidP="00C9081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71B6D">
        <w:rPr>
          <w:sz w:val="28"/>
          <w:szCs w:val="28"/>
        </w:rPr>
        <w:t xml:space="preserve">Выслушав ответчика, свидетеля, исследовав материалы дела, </w:t>
      </w:r>
      <w:r w:rsidRPr="00371B6D" w:rsidR="008E75CD">
        <w:rPr>
          <w:sz w:val="28"/>
          <w:szCs w:val="28"/>
        </w:rPr>
        <w:t>оценив представленные письменные и вещественные доказательства в соответствии с требованиями ст. 67 ГПК РФ с учетом доводов и возражений сторон, суд приходит к следующему.</w:t>
      </w:r>
    </w:p>
    <w:p w:rsidR="00E062E9" w:rsidRPr="00371B6D" w:rsidP="00E062E9">
      <w:pPr>
        <w:ind w:firstLine="540"/>
        <w:jc w:val="both"/>
        <w:rPr>
          <w:sz w:val="28"/>
          <w:szCs w:val="28"/>
        </w:rPr>
      </w:pPr>
      <w:r w:rsidRPr="00371B6D">
        <w:rPr>
          <w:sz w:val="28"/>
          <w:szCs w:val="28"/>
        </w:rPr>
        <w:t>Сложившиеся ме</w:t>
      </w:r>
      <w:r w:rsidRPr="00371B6D">
        <w:rPr>
          <w:sz w:val="28"/>
          <w:szCs w:val="28"/>
        </w:rPr>
        <w:t>жду сторонами гражданские правоотношения регулируются Главой 49 Гражданского кодекса Российской Федерации.</w:t>
      </w:r>
    </w:p>
    <w:p w:rsidR="00E062E9" w:rsidRPr="00371B6D" w:rsidP="00E062E9">
      <w:pPr>
        <w:ind w:firstLine="540"/>
        <w:jc w:val="both"/>
        <w:rPr>
          <w:sz w:val="28"/>
          <w:szCs w:val="28"/>
        </w:rPr>
      </w:pPr>
      <w:r w:rsidRPr="00E062E9">
        <w:rPr>
          <w:sz w:val="28"/>
          <w:szCs w:val="28"/>
        </w:rPr>
        <w:t>На основании п. 1</w:t>
      </w:r>
      <w:r w:rsidRPr="00371B6D">
        <w:rPr>
          <w:sz w:val="28"/>
          <w:szCs w:val="28"/>
        </w:rPr>
        <w:t>,2</w:t>
      </w:r>
      <w:r w:rsidRPr="00E062E9">
        <w:rPr>
          <w:sz w:val="28"/>
          <w:szCs w:val="28"/>
        </w:rPr>
        <w:t xml:space="preserve"> ст. 971 Гражданского кодекса Российской Федерации </w:t>
      </w:r>
      <w:r w:rsidRPr="00371B6D">
        <w:rPr>
          <w:sz w:val="28"/>
          <w:szCs w:val="28"/>
        </w:rPr>
        <w:t xml:space="preserve">по договору поручения одна сторона (поверенный) обязуется совершить от имени и </w:t>
      </w:r>
      <w:r w:rsidRPr="00371B6D">
        <w:rPr>
          <w:sz w:val="28"/>
          <w:szCs w:val="28"/>
        </w:rPr>
        <w:t xml:space="preserve">за счет другой стороны (доверителя) определенные юридические действия. Права и обязанности по сделке, совершенной поверенным, возникают непосредственно у доверителя. </w:t>
      </w:r>
      <w:r w:rsidRPr="00E062E9">
        <w:rPr>
          <w:sz w:val="28"/>
          <w:szCs w:val="28"/>
        </w:rPr>
        <w:t>Договор поручения может быть заключен с указанием срока, в течение которого поверенный впр</w:t>
      </w:r>
      <w:r w:rsidRPr="00E062E9">
        <w:rPr>
          <w:sz w:val="28"/>
          <w:szCs w:val="28"/>
        </w:rPr>
        <w:t xml:space="preserve">аве действовать от имени доверителя, или без такого указания. </w:t>
      </w:r>
    </w:p>
    <w:p w:rsidR="00EA1630" w:rsidRPr="00371B6D" w:rsidP="00EA1630">
      <w:pPr>
        <w:ind w:firstLine="540"/>
        <w:jc w:val="both"/>
        <w:rPr>
          <w:sz w:val="28"/>
          <w:szCs w:val="28"/>
        </w:rPr>
      </w:pPr>
      <w:r w:rsidRPr="00371B6D">
        <w:rPr>
          <w:sz w:val="28"/>
          <w:szCs w:val="28"/>
        </w:rPr>
        <w:t>Согласно п. 1 ст. 314 ГК РФ</w:t>
      </w:r>
      <w:r w:rsidRPr="00371B6D">
        <w:rPr>
          <w:sz w:val="28"/>
          <w:szCs w:val="28"/>
        </w:rPr>
        <w:t xml:space="preserve"> если обязательство предусматривает или позволяет определить день его исполнения либо период, в течение которого оно должно быть исполнено (в том числе в случае, если этот период исчисляется с момента исполнения обязанностей другой стороной или наступления</w:t>
      </w:r>
      <w:r w:rsidRPr="00371B6D">
        <w:rPr>
          <w:sz w:val="28"/>
          <w:szCs w:val="28"/>
        </w:rPr>
        <w:t xml:space="preserve"> иных обстоятельств, предусмотренных законом или договором), обязательство подлежит исполнению в этот день или соответственно в любой момент в пределах такого периода. </w:t>
      </w:r>
    </w:p>
    <w:p w:rsidR="00E062E9" w:rsidRPr="00371B6D" w:rsidP="00E062E9">
      <w:pPr>
        <w:ind w:firstLine="540"/>
        <w:jc w:val="both"/>
        <w:rPr>
          <w:sz w:val="28"/>
          <w:szCs w:val="28"/>
        </w:rPr>
      </w:pPr>
      <w:r w:rsidRPr="00371B6D">
        <w:rPr>
          <w:sz w:val="28"/>
          <w:szCs w:val="28"/>
        </w:rPr>
        <w:t>В соответствии с п. 2 ст. 314 ГК РФ в случаях, когда обязательство не предусматривает с</w:t>
      </w:r>
      <w:r w:rsidRPr="00371B6D">
        <w:rPr>
          <w:sz w:val="28"/>
          <w:szCs w:val="28"/>
        </w:rPr>
        <w:t>рок его исполнения и не содержит условия, позволяющие определить этот срок, а равно и в случаях, когда срок исполнения обязательства определен моментом востребования, обязательство должно быть исполнено в течение семи дней со дня предъявления кредитором тр</w:t>
      </w:r>
      <w:r w:rsidRPr="00371B6D">
        <w:rPr>
          <w:sz w:val="28"/>
          <w:szCs w:val="28"/>
        </w:rPr>
        <w:t xml:space="preserve">ебования о его исполнении, если обязанность исполнения в другой срок не предусмотрена законом, иными правовыми актами, условиями обязательства или не вытекает из обычаев либо существа обязательства. При непредъявлении кредитором в разумный срок требования </w:t>
      </w:r>
      <w:r w:rsidRPr="00371B6D">
        <w:rPr>
          <w:sz w:val="28"/>
          <w:szCs w:val="28"/>
        </w:rPr>
        <w:t xml:space="preserve">об исполнении такого обязательства должник вправе потребовать от кредитора принять исполнение, если иное не предусмотрено </w:t>
      </w:r>
      <w:r w:rsidRPr="00371B6D">
        <w:rPr>
          <w:sz w:val="28"/>
          <w:szCs w:val="28"/>
        </w:rPr>
        <w:t xml:space="preserve">законом, иными правовыми актами, условиями обязательства или не явствует из обычаев либо существа обязательства. </w:t>
      </w:r>
    </w:p>
    <w:p w:rsidR="00EA1630" w:rsidRPr="00371B6D" w:rsidP="00EA1630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71B6D">
        <w:rPr>
          <w:sz w:val="28"/>
          <w:szCs w:val="28"/>
        </w:rPr>
        <w:t>Следовательно, при о</w:t>
      </w:r>
      <w:r w:rsidRPr="00371B6D">
        <w:rPr>
          <w:sz w:val="28"/>
          <w:szCs w:val="28"/>
        </w:rPr>
        <w:t>пределении срока исполнения подлежат применению положения  ст. 314 ГК РФ, а юридически значимым событием является день</w:t>
      </w:r>
      <w:r w:rsidRPr="00371B6D" w:rsidR="008C5695">
        <w:rPr>
          <w:sz w:val="28"/>
          <w:szCs w:val="28"/>
        </w:rPr>
        <w:t xml:space="preserve">, когда обязательство подлежало исполнению либо день </w:t>
      </w:r>
      <w:r w:rsidRPr="00371B6D">
        <w:rPr>
          <w:sz w:val="28"/>
          <w:szCs w:val="28"/>
        </w:rPr>
        <w:t>предъявления кредитором требования о его исполнении.</w:t>
      </w:r>
    </w:p>
    <w:p w:rsidR="00F333FD" w:rsidRPr="00F333FD" w:rsidP="00F333FD">
      <w:pPr>
        <w:ind w:firstLine="540"/>
        <w:jc w:val="both"/>
        <w:rPr>
          <w:sz w:val="28"/>
          <w:szCs w:val="28"/>
        </w:rPr>
      </w:pPr>
      <w:r w:rsidRPr="00F333FD">
        <w:rPr>
          <w:sz w:val="28"/>
          <w:szCs w:val="28"/>
        </w:rPr>
        <w:t>Согласно положений ст. 431 Гражд</w:t>
      </w:r>
      <w:r w:rsidRPr="00F333FD">
        <w:rPr>
          <w:sz w:val="28"/>
          <w:szCs w:val="28"/>
        </w:rPr>
        <w:t xml:space="preserve">анского кодекса Российской Федерации </w:t>
      </w:r>
      <w:r w:rsidRPr="00371B6D">
        <w:rPr>
          <w:sz w:val="28"/>
          <w:szCs w:val="28"/>
        </w:rPr>
        <w:t>при толковании условий договора судом принимается во внимание буквальное значение содержащихся в нем слов и выражений. Буквальное значение условия договора в случае его неясности устанавливается путем сопоставления с др</w:t>
      </w:r>
      <w:r w:rsidRPr="00371B6D">
        <w:rPr>
          <w:sz w:val="28"/>
          <w:szCs w:val="28"/>
        </w:rPr>
        <w:t xml:space="preserve">угими условиями и смыслом договора в целом.  </w:t>
      </w:r>
      <w:r w:rsidRPr="00F333FD">
        <w:rPr>
          <w:sz w:val="28"/>
          <w:szCs w:val="28"/>
        </w:rPr>
        <w:t>Если правила, содержащиеся в части первой настоящей статьи, не позволяют определить содержание договора, должна быть выяснена действительная общая воля сторон с учетом цели договора. При этом принимаются во вним</w:t>
      </w:r>
      <w:r w:rsidRPr="00F333FD">
        <w:rPr>
          <w:sz w:val="28"/>
          <w:szCs w:val="28"/>
        </w:rPr>
        <w:t xml:space="preserve">ание все соответствующие обстоятельства, включая предшествующие договору переговоры и переписку, практику, установившуюся во взаимных отношениях сторон, обычаи, последующее поведение сторон. </w:t>
      </w:r>
    </w:p>
    <w:p w:rsidR="008E75CD" w:rsidRPr="00371B6D" w:rsidP="008E75CD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71B6D">
        <w:rPr>
          <w:sz w:val="28"/>
          <w:szCs w:val="28"/>
        </w:rPr>
        <w:t>В силу положений ст. 56 ГПК РФ, содержание которой следует рассм</w:t>
      </w:r>
      <w:r w:rsidRPr="00371B6D">
        <w:rPr>
          <w:sz w:val="28"/>
          <w:szCs w:val="28"/>
        </w:rPr>
        <w:t xml:space="preserve">атривать в контексте п. 3 ст. 123 Конституции РФ и ст. 12 ГПК РФ, закрепляющих принцип состязательности гражданского судопроизводства и принцип равноправия сторон, каждая сторона должна доказать те обстоятельства, на которые она ссылается как на основания </w:t>
      </w:r>
      <w:r w:rsidRPr="00371B6D">
        <w:rPr>
          <w:sz w:val="28"/>
          <w:szCs w:val="28"/>
        </w:rPr>
        <w:t>своих требований и возражений, если иное не предусмотрено федеральным законом.</w:t>
      </w:r>
    </w:p>
    <w:p w:rsidR="008E75CD" w:rsidRPr="00371B6D" w:rsidP="008E75CD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371B6D">
        <w:rPr>
          <w:sz w:val="28"/>
          <w:szCs w:val="28"/>
        </w:rPr>
        <w:t>Из изложенного следует, что в силу состязательного построения процесса представление доказательств возлагается на стороны и других лиц, участвующих в деле. Стороны сами должны з</w:t>
      </w:r>
      <w:r w:rsidRPr="00371B6D">
        <w:rPr>
          <w:sz w:val="28"/>
          <w:szCs w:val="28"/>
        </w:rPr>
        <w:t>аботиться о подтверждении доказательствами фактов, на которые ссылаются. Гражданское судопроизводство осуществляется на основе состязательности сторон, и лица, участвующие в деле, несут риск наступления последствий совершения или не совершения ими процессу</w:t>
      </w:r>
      <w:r w:rsidRPr="00371B6D">
        <w:rPr>
          <w:sz w:val="28"/>
          <w:szCs w:val="28"/>
        </w:rPr>
        <w:t xml:space="preserve">альных действий. </w:t>
      </w:r>
    </w:p>
    <w:p w:rsidR="008E75CD" w:rsidRPr="00371B6D" w:rsidP="008E75CD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371B6D">
        <w:rPr>
          <w:sz w:val="28"/>
          <w:szCs w:val="28"/>
        </w:rPr>
        <w:t xml:space="preserve">Согласно ч. 2 ст. 195 ГПК РФ суд основывает решение только на тех доказательствах, которые были исследованы в судебном заседании. </w:t>
      </w:r>
    </w:p>
    <w:p w:rsidR="001A2A7C" w:rsidRPr="00371B6D" w:rsidP="001A2A7C">
      <w:pPr>
        <w:pStyle w:val="ConsPlusNormal"/>
        <w:ind w:firstLine="540"/>
        <w:jc w:val="both"/>
        <w:rPr>
          <w:sz w:val="28"/>
          <w:szCs w:val="28"/>
        </w:rPr>
      </w:pPr>
      <w:r w:rsidRPr="00371B6D">
        <w:rPr>
          <w:sz w:val="28"/>
          <w:szCs w:val="28"/>
        </w:rPr>
        <w:t>Судом установлено и сторонами не отрицается, что 15.08.2019 между истцом и ответчиком в устной форме был за</w:t>
      </w:r>
      <w:r w:rsidRPr="00371B6D">
        <w:rPr>
          <w:sz w:val="28"/>
          <w:szCs w:val="28"/>
        </w:rPr>
        <w:t>ключен договор поручения, согласно которому Вартанова Т.С. поручила, а Аузяк Н.И. выразил согласие совершить от имени истца определенные юридические действия – направить в адрес администрации г. Феодосия заказным письмом акт приема-передачи земельного учас</w:t>
      </w:r>
      <w:r w:rsidRPr="00371B6D">
        <w:rPr>
          <w:sz w:val="28"/>
          <w:szCs w:val="28"/>
        </w:rPr>
        <w:t xml:space="preserve">тка с кадастровым номером </w:t>
      </w:r>
      <w:r w:rsidRPr="00EF04D7">
        <w:rPr>
          <w:sz w:val="28"/>
          <w:szCs w:val="28"/>
        </w:rPr>
        <w:t>«данные изъяты»</w:t>
      </w:r>
      <w:r w:rsidRPr="00371B6D">
        <w:rPr>
          <w:sz w:val="28"/>
          <w:szCs w:val="28"/>
        </w:rPr>
        <w:t xml:space="preserve">, находящегося по адресу: </w:t>
      </w:r>
      <w:r w:rsidRPr="00EF04D7">
        <w:rPr>
          <w:sz w:val="28"/>
          <w:szCs w:val="28"/>
        </w:rPr>
        <w:t>«данные изъяты</w:t>
      </w:r>
      <w:r w:rsidRPr="00EF04D7">
        <w:rPr>
          <w:sz w:val="28"/>
          <w:szCs w:val="28"/>
        </w:rPr>
        <w:t>»</w:t>
      </w:r>
      <w:r w:rsidRPr="00371B6D">
        <w:rPr>
          <w:sz w:val="28"/>
          <w:szCs w:val="28"/>
        </w:rPr>
        <w:t xml:space="preserve">, за </w:t>
      </w:r>
      <w:r w:rsidRPr="00371B6D">
        <w:rPr>
          <w:sz w:val="28"/>
          <w:szCs w:val="28"/>
        </w:rPr>
        <w:t>выполнение</w:t>
      </w:r>
      <w:r w:rsidRPr="00371B6D">
        <w:rPr>
          <w:sz w:val="28"/>
          <w:szCs w:val="28"/>
        </w:rPr>
        <w:t xml:space="preserve"> которых ответчик получил вознаграждение в размере 5000 рублей.</w:t>
      </w:r>
      <w:r w:rsidRPr="00371B6D" w:rsidR="008C5695">
        <w:rPr>
          <w:sz w:val="28"/>
          <w:szCs w:val="28"/>
        </w:rPr>
        <w:t xml:space="preserve"> </w:t>
      </w:r>
    </w:p>
    <w:p w:rsidR="003A4DC4" w:rsidRPr="00FC5C0B" w:rsidP="00FC5C0B">
      <w:pPr>
        <w:pStyle w:val="ConsPlusNormal"/>
        <w:ind w:firstLine="540"/>
        <w:jc w:val="both"/>
        <w:rPr>
          <w:sz w:val="28"/>
          <w:szCs w:val="28"/>
        </w:rPr>
      </w:pPr>
      <w:r w:rsidRPr="00371B6D">
        <w:rPr>
          <w:sz w:val="28"/>
          <w:szCs w:val="28"/>
        </w:rPr>
        <w:t xml:space="preserve">Исходя из представленных сторонами </w:t>
      </w:r>
      <w:r w:rsidRPr="00371B6D">
        <w:rPr>
          <w:sz w:val="28"/>
          <w:szCs w:val="28"/>
        </w:rPr>
        <w:t xml:space="preserve">доказательств, день исполнения поручения сторонами не определен. Претензия о неисполнении поручения по договору от 15.08.2019 заявлена истцом 10.01.2024 в момент направления претензии (л.д. 5), то есть, спустя </w:t>
      </w:r>
      <w:r w:rsidRPr="00FC5C0B">
        <w:rPr>
          <w:sz w:val="28"/>
          <w:szCs w:val="28"/>
        </w:rPr>
        <w:t xml:space="preserve">значительный временной промежуток. </w:t>
      </w:r>
    </w:p>
    <w:p w:rsidR="00990672" w:rsidRPr="00FC5C0B" w:rsidP="00FC5C0B">
      <w:pPr>
        <w:pStyle w:val="ConsPlusNormal"/>
        <w:ind w:firstLine="540"/>
        <w:jc w:val="both"/>
        <w:rPr>
          <w:sz w:val="28"/>
          <w:szCs w:val="28"/>
        </w:rPr>
      </w:pPr>
      <w:r w:rsidRPr="00FC5C0B">
        <w:rPr>
          <w:sz w:val="28"/>
          <w:szCs w:val="28"/>
        </w:rPr>
        <w:t>В ч. 3 ст.</w:t>
      </w:r>
      <w:r w:rsidRPr="00FC5C0B">
        <w:rPr>
          <w:sz w:val="28"/>
          <w:szCs w:val="28"/>
        </w:rPr>
        <w:t xml:space="preserve"> 17 Конституции Российской Федерации закреплено, что </w:t>
      </w:r>
      <w:r w:rsidRPr="00FC5C0B">
        <w:rPr>
          <w:sz w:val="28"/>
          <w:szCs w:val="28"/>
        </w:rPr>
        <w:t>осуществление прав и свобод человека и гражданина не должно нарушать права и свободы других лиц.</w:t>
      </w:r>
    </w:p>
    <w:p w:rsidR="00990672" w:rsidRPr="00FC5C0B" w:rsidP="00FC5C0B">
      <w:pPr>
        <w:pStyle w:val="ConsPlusNormal"/>
        <w:ind w:firstLine="540"/>
        <w:jc w:val="both"/>
        <w:rPr>
          <w:sz w:val="28"/>
          <w:szCs w:val="28"/>
        </w:rPr>
      </w:pPr>
      <w:r w:rsidRPr="00FC5C0B">
        <w:rPr>
          <w:sz w:val="28"/>
          <w:szCs w:val="28"/>
        </w:rPr>
        <w:t>При установлении, осуществлении и защите гражданских прав и при исполнении гражданских обязанностей участн</w:t>
      </w:r>
      <w:r w:rsidRPr="00FC5C0B">
        <w:rPr>
          <w:sz w:val="28"/>
          <w:szCs w:val="28"/>
        </w:rPr>
        <w:t>ики гражданских правоотношений должны действовать добросовестно. Никто не вправе извлекать преимущество из своего незаконного или недобросовестного поведения (п. 3 и 4 ст. 1 Гражданского кодекса Российской Федерации).</w:t>
      </w:r>
    </w:p>
    <w:p w:rsidR="00990672" w:rsidRPr="00FC5C0B" w:rsidP="00FC5C0B">
      <w:pPr>
        <w:pStyle w:val="ConsPlusNormal"/>
        <w:ind w:firstLine="540"/>
        <w:jc w:val="both"/>
        <w:rPr>
          <w:sz w:val="28"/>
          <w:szCs w:val="28"/>
        </w:rPr>
      </w:pPr>
      <w:r w:rsidRPr="00FC5C0B">
        <w:rPr>
          <w:sz w:val="28"/>
          <w:szCs w:val="28"/>
        </w:rPr>
        <w:t>В п. 1 ст. 10 Гражданского кодекса Рос</w:t>
      </w:r>
      <w:r w:rsidRPr="00FC5C0B">
        <w:rPr>
          <w:sz w:val="28"/>
          <w:szCs w:val="28"/>
        </w:rPr>
        <w:t>сийской Федерации закреплена недопустимость действий граждан и юридических лиц, осуществляемых исключительно с намерением причинить вред другому лицу, а также злоупотребление правом в иных формах.</w:t>
      </w:r>
    </w:p>
    <w:p w:rsidR="00990672" w:rsidRPr="00FC5C0B" w:rsidP="00FC5C0B">
      <w:pPr>
        <w:pStyle w:val="ConsPlusNormal"/>
        <w:ind w:firstLine="540"/>
        <w:jc w:val="both"/>
        <w:rPr>
          <w:sz w:val="28"/>
          <w:szCs w:val="28"/>
        </w:rPr>
      </w:pPr>
      <w:r w:rsidRPr="00FC5C0B">
        <w:rPr>
          <w:sz w:val="28"/>
          <w:szCs w:val="28"/>
        </w:rPr>
        <w:t>Исходя из приведенных выше законоположений, добросовестност</w:t>
      </w:r>
      <w:r w:rsidRPr="00FC5C0B">
        <w:rPr>
          <w:sz w:val="28"/>
          <w:szCs w:val="28"/>
        </w:rPr>
        <w:t>ь при осуществлении гражданских прав и при исполнении гражданских обязанностей предполагает поведение, ожидаемое от любого участника гражданского оборота, учитывающего права и законные интересы другой стороны, содействующее ей.</w:t>
      </w:r>
    </w:p>
    <w:p w:rsidR="00666A38" w:rsidRPr="00FC5C0B" w:rsidP="00FC5C0B">
      <w:pPr>
        <w:ind w:firstLine="540"/>
        <w:jc w:val="both"/>
        <w:rPr>
          <w:sz w:val="28"/>
          <w:szCs w:val="28"/>
        </w:rPr>
      </w:pPr>
      <w:r w:rsidRPr="00FC5C0B">
        <w:rPr>
          <w:sz w:val="28"/>
          <w:szCs w:val="28"/>
        </w:rPr>
        <w:t>Обязательства должны исполня</w:t>
      </w:r>
      <w:r w:rsidRPr="00FC5C0B">
        <w:rPr>
          <w:sz w:val="28"/>
          <w:szCs w:val="28"/>
        </w:rPr>
        <w:t>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или иными обычно предъявляемыми требованиями  (ст. 309 Гражданского кодекса</w:t>
      </w:r>
      <w:r w:rsidRPr="00FC5C0B">
        <w:rPr>
          <w:sz w:val="28"/>
          <w:szCs w:val="28"/>
        </w:rPr>
        <w:t xml:space="preserve"> Российской Федерации).</w:t>
      </w:r>
    </w:p>
    <w:p w:rsidR="00666A38" w:rsidRPr="00FC5C0B" w:rsidP="00FC5C0B">
      <w:pPr>
        <w:ind w:firstLine="540"/>
        <w:jc w:val="both"/>
        <w:rPr>
          <w:sz w:val="28"/>
          <w:szCs w:val="28"/>
        </w:rPr>
      </w:pPr>
      <w:r w:rsidRPr="00FC5C0B">
        <w:rPr>
          <w:sz w:val="28"/>
          <w:szCs w:val="28"/>
        </w:rPr>
        <w:t xml:space="preserve">В п. 1 ст. 310 Гражданского кодекса Российской Федерации установлено, что </w:t>
      </w:r>
      <w:r w:rsidRPr="00FC5C0B" w:rsidR="00510AC8">
        <w:rPr>
          <w:sz w:val="28"/>
          <w:szCs w:val="28"/>
        </w:rPr>
        <w:t>о</w:t>
      </w:r>
      <w:r w:rsidRPr="00FC5C0B">
        <w:rPr>
          <w:sz w:val="28"/>
          <w:szCs w:val="28"/>
        </w:rPr>
        <w:t>дносторонний отказ от исполнения обязательства и одностороннее изменение его условий не допускаются, за исключением случаев, предусмотренных настоящим Кодекс</w:t>
      </w:r>
      <w:r w:rsidRPr="00FC5C0B">
        <w:rPr>
          <w:sz w:val="28"/>
          <w:szCs w:val="28"/>
        </w:rPr>
        <w:t xml:space="preserve">ом, другими законами или иными правовыми актами. </w:t>
      </w:r>
    </w:p>
    <w:p w:rsidR="008E75CD" w:rsidRPr="00FC5C0B" w:rsidP="00FC5C0B">
      <w:pPr>
        <w:ind w:firstLine="540"/>
        <w:jc w:val="both"/>
        <w:rPr>
          <w:sz w:val="28"/>
          <w:szCs w:val="28"/>
        </w:rPr>
      </w:pPr>
      <w:r w:rsidRPr="00FC5C0B">
        <w:rPr>
          <w:sz w:val="28"/>
          <w:szCs w:val="28"/>
        </w:rPr>
        <w:t>Пунктом 1 статьи 973 ГК РФ закреплено, что поверенный обязан исполнять данное ему поручение в соответствии с указаниями доверителя. Указания доверителя должны быть правомерными, осуществимыми и конкретными.</w:t>
      </w:r>
      <w:r w:rsidRPr="00FC5C0B">
        <w:rPr>
          <w:sz w:val="28"/>
          <w:szCs w:val="28"/>
        </w:rPr>
        <w:t xml:space="preserve"> </w:t>
      </w:r>
    </w:p>
    <w:p w:rsidR="00C013E4" w:rsidRPr="00FC5C0B" w:rsidP="00FC5C0B">
      <w:pPr>
        <w:ind w:firstLine="540"/>
        <w:jc w:val="both"/>
        <w:rPr>
          <w:sz w:val="28"/>
          <w:szCs w:val="28"/>
        </w:rPr>
      </w:pPr>
      <w:r w:rsidRPr="00FC5C0B">
        <w:rPr>
          <w:sz w:val="28"/>
          <w:szCs w:val="28"/>
        </w:rPr>
        <w:t>Факт исполнения Аузяк Н.И. поручения Вартановой Т.С. подтверждается почтовой квитанци</w:t>
      </w:r>
      <w:r w:rsidR="007F4B49">
        <w:rPr>
          <w:sz w:val="28"/>
          <w:szCs w:val="28"/>
        </w:rPr>
        <w:t>ей</w:t>
      </w:r>
      <w:r w:rsidRPr="00FC5C0B">
        <w:rPr>
          <w:sz w:val="28"/>
          <w:szCs w:val="28"/>
        </w:rPr>
        <w:t xml:space="preserve"> №</w:t>
      </w:r>
      <w:r w:rsidRPr="00EF04D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FC5C0B">
        <w:rPr>
          <w:sz w:val="28"/>
          <w:szCs w:val="28"/>
        </w:rPr>
        <w:t xml:space="preserve">от 15.08.2019, уведомлением о вручении адресату почтового отправления с почтовым идентификатором </w:t>
      </w:r>
      <w:r w:rsidRPr="00EF04D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FC5C0B" w:rsidR="0049010E">
        <w:rPr>
          <w:sz w:val="28"/>
          <w:szCs w:val="28"/>
        </w:rPr>
        <w:t>и отчет</w:t>
      </w:r>
      <w:r w:rsidR="00AE6036">
        <w:rPr>
          <w:sz w:val="28"/>
          <w:szCs w:val="28"/>
        </w:rPr>
        <w:t>ом</w:t>
      </w:r>
      <w:r w:rsidRPr="00FC5C0B" w:rsidR="0049010E">
        <w:rPr>
          <w:sz w:val="28"/>
          <w:szCs w:val="28"/>
        </w:rPr>
        <w:t xml:space="preserve"> об отслеживании к нему, согласно которым письмо было отправлено 15.08.2019 и получено Главой администрации города Феодосия 19.08.2019</w:t>
      </w:r>
      <w:r w:rsidRPr="00FC5C0B" w:rsidR="00510AC8">
        <w:rPr>
          <w:sz w:val="28"/>
          <w:szCs w:val="28"/>
        </w:rPr>
        <w:t xml:space="preserve">, а также показаниями свидетеля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FC5C0B" w:rsidR="00510AC8">
        <w:rPr>
          <w:sz w:val="28"/>
          <w:szCs w:val="28"/>
        </w:rPr>
        <w:t xml:space="preserve"> Оснований ставить под сомнение показания указанного свидетеля у мирового судьи не усматривается, поскольку они изложены логично, последовательно, согласуются с материалами дела.</w:t>
      </w:r>
      <w:r w:rsidRPr="00FC5C0B" w:rsidR="0049010E">
        <w:rPr>
          <w:sz w:val="28"/>
          <w:szCs w:val="28"/>
        </w:rPr>
        <w:t xml:space="preserve">   </w:t>
      </w:r>
      <w:r w:rsidRPr="00FC5C0B">
        <w:rPr>
          <w:sz w:val="28"/>
          <w:szCs w:val="28"/>
        </w:rPr>
        <w:t xml:space="preserve"> </w:t>
      </w:r>
      <w:r w:rsidRPr="00FC5C0B" w:rsidR="0049010E">
        <w:rPr>
          <w:sz w:val="28"/>
          <w:szCs w:val="28"/>
        </w:rPr>
        <w:t xml:space="preserve"> </w:t>
      </w:r>
      <w:r w:rsidRPr="00FC5C0B">
        <w:rPr>
          <w:sz w:val="28"/>
          <w:szCs w:val="28"/>
        </w:rPr>
        <w:t xml:space="preserve"> </w:t>
      </w:r>
    </w:p>
    <w:p w:rsidR="00C013E4" w:rsidRPr="00FC5C0B" w:rsidP="00FC5C0B">
      <w:pPr>
        <w:ind w:firstLine="540"/>
        <w:jc w:val="both"/>
        <w:rPr>
          <w:sz w:val="28"/>
          <w:szCs w:val="28"/>
        </w:rPr>
      </w:pPr>
      <w:r w:rsidRPr="00FC5C0B">
        <w:rPr>
          <w:sz w:val="28"/>
          <w:szCs w:val="28"/>
        </w:rPr>
        <w:t>На основании п. 1 ст. 977 Гражданского кодекса Российской Федерации договор поручения прекращается вследствие: отмены поручения доверителем; отказа</w:t>
      </w:r>
      <w:r w:rsidRPr="00FC5C0B">
        <w:rPr>
          <w:sz w:val="28"/>
          <w:szCs w:val="28"/>
        </w:rPr>
        <w:t xml:space="preserve"> поверенного; смерти доверителя или поверенного, признания кого-либо из них недееспособным, ограниченно дееспособным или безвестно отсутствующим. </w:t>
      </w:r>
    </w:p>
    <w:p w:rsidR="0000242E" w:rsidRPr="00FC5C0B" w:rsidP="00FC5C0B">
      <w:pPr>
        <w:ind w:firstLine="540"/>
        <w:jc w:val="both"/>
        <w:rPr>
          <w:sz w:val="28"/>
          <w:szCs w:val="28"/>
        </w:rPr>
      </w:pPr>
      <w:r w:rsidRPr="00FC5C0B">
        <w:rPr>
          <w:sz w:val="28"/>
          <w:szCs w:val="28"/>
        </w:rPr>
        <w:t>Доказательств прекращения указанного договора по основаниям, указанным в пункте 1 вышеуказанной статьи, сторо</w:t>
      </w:r>
      <w:r w:rsidRPr="00FC5C0B">
        <w:rPr>
          <w:sz w:val="28"/>
          <w:szCs w:val="28"/>
        </w:rPr>
        <w:t>нами не предст</w:t>
      </w:r>
      <w:r w:rsidRPr="00FC5C0B" w:rsidR="00510AC8">
        <w:rPr>
          <w:sz w:val="28"/>
          <w:szCs w:val="28"/>
        </w:rPr>
        <w:t>а</w:t>
      </w:r>
      <w:r w:rsidRPr="00FC5C0B">
        <w:rPr>
          <w:sz w:val="28"/>
          <w:szCs w:val="28"/>
        </w:rPr>
        <w:t xml:space="preserve">влено. </w:t>
      </w:r>
    </w:p>
    <w:p w:rsidR="00C013E4" w:rsidRPr="00FC5C0B" w:rsidP="00FC5C0B">
      <w:pPr>
        <w:pStyle w:val="ConsPlusNormal"/>
        <w:ind w:firstLine="539"/>
        <w:jc w:val="both"/>
        <w:rPr>
          <w:sz w:val="28"/>
          <w:szCs w:val="28"/>
        </w:rPr>
      </w:pPr>
      <w:r w:rsidRPr="00FC5C0B">
        <w:rPr>
          <w:sz w:val="28"/>
          <w:szCs w:val="28"/>
        </w:rPr>
        <w:t xml:space="preserve">Согласно п. 1 ст. 1102 ГК РФ лицо, которое без установленных законом, </w:t>
      </w:r>
      <w:r w:rsidRPr="00FC5C0B">
        <w:rPr>
          <w:sz w:val="28"/>
          <w:szCs w:val="28"/>
        </w:rPr>
        <w:t>иными правовыми актами или сделкой оснований приобрело или сберегло имущество (приобретатель) за счет другого лица (потерпевшего), обязано возвратить последнему не</w:t>
      </w:r>
      <w:r w:rsidRPr="00FC5C0B">
        <w:rPr>
          <w:sz w:val="28"/>
          <w:szCs w:val="28"/>
        </w:rPr>
        <w:t>основательно приобретенное или сбереженное имущество (неосновательное обогащение), за исключением случаев, предусмотренных ст. 1109 ГК РФ.</w:t>
      </w:r>
    </w:p>
    <w:p w:rsidR="00B47E39" w:rsidRPr="00FC5C0B" w:rsidP="00FC5C0B">
      <w:pPr>
        <w:pStyle w:val="ConsPlusNormal"/>
        <w:ind w:firstLine="539"/>
        <w:jc w:val="both"/>
        <w:rPr>
          <w:sz w:val="28"/>
          <w:szCs w:val="28"/>
        </w:rPr>
      </w:pPr>
      <w:r w:rsidRPr="00FC5C0B">
        <w:rPr>
          <w:sz w:val="28"/>
          <w:szCs w:val="28"/>
        </w:rPr>
        <w:t xml:space="preserve">Из указанной нормы во взаимосвязи с ч. 1 ст. 56 ГПК РФ </w:t>
      </w:r>
      <w:r w:rsidRPr="00FC5C0B" w:rsidR="00837EB9">
        <w:rPr>
          <w:sz w:val="28"/>
          <w:szCs w:val="28"/>
        </w:rPr>
        <w:t>следует</w:t>
      </w:r>
      <w:r w:rsidRPr="00FC5C0B">
        <w:rPr>
          <w:sz w:val="28"/>
          <w:szCs w:val="28"/>
        </w:rPr>
        <w:t xml:space="preserve">, что по делам о взыскании неосновательного обогащения </w:t>
      </w:r>
      <w:r w:rsidRPr="00FC5C0B">
        <w:rPr>
          <w:sz w:val="28"/>
          <w:szCs w:val="28"/>
        </w:rPr>
        <w:t>на истца возлагается обязанность доказать факт приобретения или сбережения имущества ответчиком, а на ответчика - обязанность доказать наличие законных оснований для приобретения или сбережения такого имущества либо наличие обстоятельств, при которых неосн</w:t>
      </w:r>
      <w:r w:rsidRPr="00FC5C0B">
        <w:rPr>
          <w:sz w:val="28"/>
          <w:szCs w:val="28"/>
        </w:rPr>
        <w:t>овательное обогащение в силу закона не подлежит возврату (п. 7 Обзора судебной практики Верховного Суда РФ N 2 (2019), утв. Президиумом Верховного Суда РФ 17.07.2019).</w:t>
      </w:r>
      <w:r w:rsidRPr="00FC5C0B" w:rsidR="00837EB9">
        <w:rPr>
          <w:sz w:val="28"/>
          <w:szCs w:val="28"/>
        </w:rPr>
        <w:t xml:space="preserve"> </w:t>
      </w:r>
    </w:p>
    <w:p w:rsidR="00B47E39" w:rsidRPr="00FC5C0B" w:rsidP="00FC5C0B">
      <w:pPr>
        <w:pStyle w:val="ConsPlusNormal"/>
        <w:ind w:firstLine="540"/>
        <w:jc w:val="both"/>
        <w:rPr>
          <w:sz w:val="28"/>
          <w:szCs w:val="28"/>
        </w:rPr>
      </w:pPr>
      <w:r w:rsidRPr="00FC5C0B">
        <w:rPr>
          <w:sz w:val="28"/>
          <w:szCs w:val="28"/>
        </w:rPr>
        <w:t>Согласно п. 1 ст. 408 Гражданского кодекса Российской Федерации надлежащее исполнение п</w:t>
      </w:r>
      <w:r w:rsidRPr="00FC5C0B">
        <w:rPr>
          <w:sz w:val="28"/>
          <w:szCs w:val="28"/>
        </w:rPr>
        <w:t>рекращает обязательство.</w:t>
      </w:r>
    </w:p>
    <w:p w:rsidR="007A3E8D" w:rsidP="00FC5C0B">
      <w:pPr>
        <w:pStyle w:val="ConsPlusNormal"/>
        <w:ind w:firstLine="540"/>
        <w:jc w:val="both"/>
      </w:pPr>
      <w:r w:rsidRPr="00FC5C0B">
        <w:rPr>
          <w:sz w:val="28"/>
          <w:szCs w:val="28"/>
        </w:rPr>
        <w:t>Каких-либо доказательств, подтверждающих ненадлежащее исполнение ответчиком обязательств по договору поручения, истцом</w:t>
      </w:r>
      <w:r w:rsidR="001D0E1B">
        <w:rPr>
          <w:sz w:val="28"/>
          <w:szCs w:val="28"/>
        </w:rPr>
        <w:t>,</w:t>
      </w:r>
      <w:r w:rsidRPr="00FC5C0B">
        <w:rPr>
          <w:sz w:val="28"/>
          <w:szCs w:val="28"/>
        </w:rPr>
        <w:t xml:space="preserve"> в нарушение требований ст. 56 Гражданского процессуального кодекса Российской Федерации</w:t>
      </w:r>
      <w:r w:rsidR="001D0E1B">
        <w:rPr>
          <w:sz w:val="28"/>
          <w:szCs w:val="28"/>
        </w:rPr>
        <w:t>,</w:t>
      </w:r>
      <w:r w:rsidRPr="00FC5C0B">
        <w:rPr>
          <w:sz w:val="28"/>
          <w:szCs w:val="28"/>
        </w:rPr>
        <w:t xml:space="preserve"> не представлено, в свя</w:t>
      </w:r>
      <w:r w:rsidRPr="00FC5C0B">
        <w:rPr>
          <w:sz w:val="28"/>
          <w:szCs w:val="28"/>
        </w:rPr>
        <w:t>зи с чем</w:t>
      </w:r>
      <w:r w:rsidR="001D0E1B">
        <w:rPr>
          <w:sz w:val="28"/>
          <w:szCs w:val="28"/>
        </w:rPr>
        <w:t>,</w:t>
      </w:r>
      <w:r w:rsidRPr="00FC5C0B">
        <w:rPr>
          <w:sz w:val="28"/>
          <w:szCs w:val="28"/>
        </w:rPr>
        <w:t xml:space="preserve"> </w:t>
      </w:r>
      <w:r w:rsidRPr="00FC5C0B" w:rsidR="00837EB9">
        <w:rPr>
          <w:sz w:val="28"/>
          <w:szCs w:val="28"/>
        </w:rPr>
        <w:t xml:space="preserve">основания для взыскания с </w:t>
      </w:r>
      <w:r w:rsidRPr="00FC5C0B">
        <w:rPr>
          <w:sz w:val="28"/>
          <w:szCs w:val="28"/>
        </w:rPr>
        <w:t xml:space="preserve">Аузяк Н.И. </w:t>
      </w:r>
      <w:r w:rsidRPr="00FC5C0B" w:rsidR="00837EB9">
        <w:rPr>
          <w:sz w:val="28"/>
          <w:szCs w:val="28"/>
        </w:rPr>
        <w:t>уплаченного вознаграждения</w:t>
      </w:r>
      <w:r w:rsidR="00837EB9">
        <w:rPr>
          <w:sz w:val="28"/>
          <w:szCs w:val="28"/>
        </w:rPr>
        <w:t xml:space="preserve"> отсутствуют.  </w:t>
      </w:r>
    </w:p>
    <w:p w:rsidR="003725D6" w:rsidP="003725D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ст.194-199 ГПК РФ, мировой судья-</w:t>
      </w:r>
    </w:p>
    <w:p w:rsidR="003725D6" w:rsidP="003725D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725D6" w:rsidP="003725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исковых требований Вартановой Татьяны Сергеевны к Аузяк Николаю Иван</w:t>
      </w:r>
      <w:r>
        <w:rPr>
          <w:sz w:val="28"/>
          <w:szCs w:val="28"/>
        </w:rPr>
        <w:t xml:space="preserve">овичу о взыскании уплаченного по договору поручения вознаграждения – отказать. </w:t>
      </w:r>
    </w:p>
    <w:p w:rsidR="003725D6" w:rsidRPr="0015563D" w:rsidP="003725D6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15563D"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</w:t>
      </w:r>
      <w:r w:rsidRPr="0015563D">
        <w:rPr>
          <w:sz w:val="28"/>
          <w:szCs w:val="28"/>
        </w:rPr>
        <w:t xml:space="preserve"> район городского округа Симферополя)</w:t>
      </w:r>
      <w:r w:rsidRPr="001556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Республики Крым </w:t>
      </w:r>
      <w:r w:rsidRPr="0015563D">
        <w:rPr>
          <w:bCs/>
          <w:sz w:val="28"/>
          <w:szCs w:val="28"/>
        </w:rPr>
        <w:t>в течение месяца со дня его принятия в окончательной форме.</w:t>
      </w:r>
    </w:p>
    <w:p w:rsidR="003725D6" w:rsidRPr="0015563D" w:rsidP="003725D6">
      <w:pPr>
        <w:ind w:firstLine="540"/>
        <w:jc w:val="both"/>
        <w:rPr>
          <w:sz w:val="28"/>
          <w:szCs w:val="28"/>
        </w:rPr>
      </w:pPr>
      <w:r w:rsidRPr="0015563D">
        <w:rPr>
          <w:sz w:val="28"/>
          <w:szCs w:val="28"/>
        </w:rPr>
        <w:t xml:space="preserve">Решение в окончательной форме </w:t>
      </w:r>
      <w:r>
        <w:rPr>
          <w:sz w:val="28"/>
          <w:szCs w:val="28"/>
        </w:rPr>
        <w:t xml:space="preserve">изготовлено и подписано </w:t>
      </w:r>
      <w:r w:rsidRPr="003725D6">
        <w:rPr>
          <w:sz w:val="28"/>
          <w:szCs w:val="28"/>
        </w:rPr>
        <w:t>18 апреля 2024 года.</w:t>
      </w:r>
    </w:p>
    <w:p w:rsidR="003725D6" w:rsidP="003725D6">
      <w:pPr>
        <w:widowControl w:val="0"/>
        <w:ind w:firstLine="567"/>
        <w:jc w:val="both"/>
        <w:rPr>
          <w:sz w:val="28"/>
          <w:szCs w:val="28"/>
        </w:rPr>
      </w:pPr>
    </w:p>
    <w:p w:rsidR="003725D6" w:rsidP="003725D6">
      <w:pPr>
        <w:widowControl w:val="0"/>
        <w:ind w:firstLine="567"/>
        <w:jc w:val="both"/>
      </w:pPr>
    </w:p>
    <w:p w:rsidR="003725D6" w:rsidP="003725D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К.Ю. Ильгова</w:t>
      </w:r>
    </w:p>
    <w:p w:rsidR="003725D6" w:rsidP="003725D6">
      <w:pPr>
        <w:ind w:firstLine="567"/>
        <w:rPr>
          <w:sz w:val="28"/>
          <w:szCs w:val="28"/>
        </w:rPr>
      </w:pPr>
    </w:p>
    <w:p w:rsidR="003725D6" w:rsidRPr="00F051CF" w:rsidP="00BA41D3">
      <w:pPr>
        <w:rPr>
          <w:sz w:val="26"/>
          <w:szCs w:val="26"/>
        </w:rPr>
      </w:pPr>
    </w:p>
    <w:p w:rsidR="009079D0"/>
    <w:p w:rsidR="009079D0"/>
    <w:p w:rsidR="009079D0"/>
    <w:p w:rsidR="009079D0"/>
    <w:p w:rsidR="009079D0"/>
    <w:p w:rsidR="009079D0"/>
    <w:p w:rsidR="009079D0"/>
    <w:p w:rsidR="009079D0"/>
    <w:sectPr w:rsidSect="00653022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77"/>
    <w:rsid w:val="0000242E"/>
    <w:rsid w:val="0002434F"/>
    <w:rsid w:val="00045486"/>
    <w:rsid w:val="000A3511"/>
    <w:rsid w:val="000C542A"/>
    <w:rsid w:val="000C77A2"/>
    <w:rsid w:val="000C798F"/>
    <w:rsid w:val="001108B8"/>
    <w:rsid w:val="001254F4"/>
    <w:rsid w:val="0015563D"/>
    <w:rsid w:val="00192A77"/>
    <w:rsid w:val="001A1888"/>
    <w:rsid w:val="001A2A7C"/>
    <w:rsid w:val="001D0E1B"/>
    <w:rsid w:val="001D2D8F"/>
    <w:rsid w:val="001E6EC3"/>
    <w:rsid w:val="00200DD3"/>
    <w:rsid w:val="002232E0"/>
    <w:rsid w:val="00230B62"/>
    <w:rsid w:val="00233518"/>
    <w:rsid w:val="0023776D"/>
    <w:rsid w:val="00261944"/>
    <w:rsid w:val="0029665A"/>
    <w:rsid w:val="002B5AE7"/>
    <w:rsid w:val="002F204E"/>
    <w:rsid w:val="00371B6D"/>
    <w:rsid w:val="003725D6"/>
    <w:rsid w:val="003A4DC4"/>
    <w:rsid w:val="003E6DFD"/>
    <w:rsid w:val="0040546C"/>
    <w:rsid w:val="00424D9F"/>
    <w:rsid w:val="00437DED"/>
    <w:rsid w:val="00444163"/>
    <w:rsid w:val="00463ABE"/>
    <w:rsid w:val="00473AFA"/>
    <w:rsid w:val="00475709"/>
    <w:rsid w:val="0049010E"/>
    <w:rsid w:val="00497B5C"/>
    <w:rsid w:val="004A187D"/>
    <w:rsid w:val="00510AC8"/>
    <w:rsid w:val="00515698"/>
    <w:rsid w:val="005553D1"/>
    <w:rsid w:val="005F0CEB"/>
    <w:rsid w:val="00633886"/>
    <w:rsid w:val="0065180F"/>
    <w:rsid w:val="00653022"/>
    <w:rsid w:val="00666A38"/>
    <w:rsid w:val="00685124"/>
    <w:rsid w:val="006C5F15"/>
    <w:rsid w:val="006D20B9"/>
    <w:rsid w:val="0074370C"/>
    <w:rsid w:val="00751466"/>
    <w:rsid w:val="007A3E8D"/>
    <w:rsid w:val="007A635B"/>
    <w:rsid w:val="007D0056"/>
    <w:rsid w:val="007D0759"/>
    <w:rsid w:val="007E7A6F"/>
    <w:rsid w:val="007F4B49"/>
    <w:rsid w:val="008118FC"/>
    <w:rsid w:val="008279D8"/>
    <w:rsid w:val="00837EB9"/>
    <w:rsid w:val="008B355B"/>
    <w:rsid w:val="008C5695"/>
    <w:rsid w:val="008D5881"/>
    <w:rsid w:val="008E75CD"/>
    <w:rsid w:val="00906D77"/>
    <w:rsid w:val="009079D0"/>
    <w:rsid w:val="009519EC"/>
    <w:rsid w:val="00961B89"/>
    <w:rsid w:val="00990672"/>
    <w:rsid w:val="009F4946"/>
    <w:rsid w:val="00A0285E"/>
    <w:rsid w:val="00A75128"/>
    <w:rsid w:val="00AC660E"/>
    <w:rsid w:val="00AE6036"/>
    <w:rsid w:val="00B47E39"/>
    <w:rsid w:val="00B5548C"/>
    <w:rsid w:val="00B969C2"/>
    <w:rsid w:val="00BA0EEF"/>
    <w:rsid w:val="00BA24E5"/>
    <w:rsid w:val="00BA41D3"/>
    <w:rsid w:val="00BB1CD7"/>
    <w:rsid w:val="00BB6D76"/>
    <w:rsid w:val="00BD62AA"/>
    <w:rsid w:val="00C013E4"/>
    <w:rsid w:val="00C2372C"/>
    <w:rsid w:val="00C90812"/>
    <w:rsid w:val="00CC211E"/>
    <w:rsid w:val="00D07AD0"/>
    <w:rsid w:val="00D41861"/>
    <w:rsid w:val="00D86FEE"/>
    <w:rsid w:val="00DE7DF0"/>
    <w:rsid w:val="00E0416D"/>
    <w:rsid w:val="00E062E9"/>
    <w:rsid w:val="00E15149"/>
    <w:rsid w:val="00E57138"/>
    <w:rsid w:val="00E90785"/>
    <w:rsid w:val="00EA1630"/>
    <w:rsid w:val="00EF04D7"/>
    <w:rsid w:val="00F051CF"/>
    <w:rsid w:val="00F106B5"/>
    <w:rsid w:val="00F21ECF"/>
    <w:rsid w:val="00F333FD"/>
    <w:rsid w:val="00F42706"/>
    <w:rsid w:val="00F720CC"/>
    <w:rsid w:val="00F724BD"/>
    <w:rsid w:val="00F7277F"/>
    <w:rsid w:val="00F85704"/>
    <w:rsid w:val="00F86549"/>
    <w:rsid w:val="00F92D1F"/>
    <w:rsid w:val="00FB0D4A"/>
    <w:rsid w:val="00FB6EE0"/>
    <w:rsid w:val="00FC5C0B"/>
    <w:rsid w:val="00FD0CE2"/>
    <w:rsid w:val="00FD70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07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63388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86FEE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7F4B4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4B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18F5A-F67D-4509-8C02-4C0AF803D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