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5944E2">
        <w:rPr>
          <w:rFonts w:ascii="Times New Roman" w:hAnsi="Times New Roman" w:cs="Times New Roman"/>
          <w:sz w:val="28"/>
          <w:szCs w:val="28"/>
        </w:rPr>
        <w:t>580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2B210B">
        <w:rPr>
          <w:sz w:val="28"/>
          <w:szCs w:val="28"/>
        </w:rPr>
        <w:t>9 сентября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BC31B4">
        <w:rPr>
          <w:sz w:val="28"/>
          <w:szCs w:val="28"/>
        </w:rPr>
        <w:t xml:space="preserve">помощнике – </w:t>
      </w:r>
      <w:r w:rsidR="00BC31B4">
        <w:rPr>
          <w:sz w:val="28"/>
          <w:szCs w:val="28"/>
        </w:rPr>
        <w:t>Бошкове</w:t>
      </w:r>
      <w:r w:rsidR="00BC31B4">
        <w:rPr>
          <w:sz w:val="28"/>
          <w:szCs w:val="28"/>
        </w:rPr>
        <w:t xml:space="preserve">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8127C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644605">
        <w:rPr>
          <w:sz w:val="28"/>
          <w:szCs w:val="28"/>
        </w:rPr>
        <w:t xml:space="preserve">к </w:t>
      </w:r>
      <w:r w:rsidR="002B210B">
        <w:rPr>
          <w:sz w:val="28"/>
          <w:szCs w:val="28"/>
        </w:rPr>
        <w:t>Сахно Галине Дмитриевне</w:t>
      </w:r>
      <w:r w:rsidR="00E65879">
        <w:rPr>
          <w:sz w:val="28"/>
          <w:szCs w:val="28"/>
        </w:rPr>
        <w:t xml:space="preserve">, третье лицо, </w:t>
      </w:r>
      <w:r w:rsidR="00D87A48">
        <w:rPr>
          <w:sz w:val="28"/>
          <w:szCs w:val="28"/>
        </w:rPr>
        <w:t>не заявляющее самостоятельных требований относительно предмета спора</w:t>
      </w:r>
      <w:r w:rsidR="002B210B">
        <w:rPr>
          <w:sz w:val="28"/>
          <w:szCs w:val="28"/>
        </w:rPr>
        <w:t>:</w:t>
      </w:r>
      <w:r w:rsidRPr="00065B66" w:rsidR="00D87A48">
        <w:rPr>
          <w:sz w:val="28"/>
          <w:szCs w:val="28"/>
        </w:rPr>
        <w:t xml:space="preserve"> </w:t>
      </w:r>
      <w:r w:rsidR="002B210B">
        <w:rPr>
          <w:sz w:val="28"/>
          <w:szCs w:val="28"/>
        </w:rPr>
        <w:t>МКУ</w:t>
      </w:r>
      <w:r w:rsidR="00D87A48">
        <w:rPr>
          <w:sz w:val="28"/>
          <w:szCs w:val="28"/>
        </w:rPr>
        <w:t xml:space="preserve"> Департамент</w:t>
      </w:r>
      <w:r w:rsidRPr="00065B66" w:rsidR="0068127C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E65879">
        <w:rPr>
          <w:sz w:val="28"/>
          <w:szCs w:val="28"/>
        </w:rPr>
        <w:t>,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2B210B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2B210B">
        <w:rPr>
          <w:sz w:val="28"/>
          <w:szCs w:val="28"/>
        </w:rPr>
        <w:t xml:space="preserve">к </w:t>
      </w:r>
      <w:r w:rsidR="002B210B">
        <w:rPr>
          <w:sz w:val="28"/>
          <w:szCs w:val="28"/>
        </w:rPr>
        <w:t>Сахно Галине Дмитриевне, третье лицо, не заявляющее самостоятельных требований относительно предмета спора:</w:t>
      </w:r>
      <w:r w:rsidRPr="00065B66" w:rsidR="002B210B">
        <w:rPr>
          <w:sz w:val="28"/>
          <w:szCs w:val="28"/>
        </w:rPr>
        <w:t xml:space="preserve"> </w:t>
      </w:r>
      <w:r w:rsidR="002B210B">
        <w:rPr>
          <w:sz w:val="28"/>
          <w:szCs w:val="28"/>
        </w:rPr>
        <w:t>МКУ Департамент</w:t>
      </w:r>
      <w:r w:rsidRPr="00065B66" w:rsidR="002B210B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2B210B">
        <w:rPr>
          <w:sz w:val="28"/>
          <w:szCs w:val="28"/>
        </w:rPr>
        <w:t>,</w:t>
      </w:r>
      <w:r w:rsidRPr="00065B66" w:rsidR="002B210B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FB262C" w:rsidP="00CD4A1B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2B210B">
        <w:rPr>
          <w:sz w:val="28"/>
          <w:szCs w:val="28"/>
        </w:rPr>
        <w:t>Сахно Галины Дмитриевны</w:t>
      </w:r>
      <w:r w:rsidRPr="00065B66" w:rsidR="00C41F57">
        <w:rPr>
          <w:sz w:val="28"/>
          <w:szCs w:val="28"/>
        </w:rPr>
        <w:t xml:space="preserve"> в пользу </w:t>
      </w:r>
      <w:r w:rsidR="00CD4A1B">
        <w:rPr>
          <w:sz w:val="28"/>
          <w:szCs w:val="28"/>
          <w:shd w:val="clear" w:color="auto" w:fill="FFFFFF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Pr="00065B66" w:rsidR="0072720E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 xml:space="preserve">излишне выплаченную меру социальной поддержки за период 01.04.2018 года по </w:t>
      </w:r>
      <w:r w:rsidR="002B210B">
        <w:rPr>
          <w:sz w:val="28"/>
          <w:szCs w:val="28"/>
        </w:rPr>
        <w:t>31.07</w:t>
      </w:r>
      <w:r w:rsidR="00CD4A1B">
        <w:rPr>
          <w:sz w:val="28"/>
          <w:szCs w:val="28"/>
        </w:rPr>
        <w:t>.2018 года в сумме 1500 рублей</w:t>
      </w:r>
      <w:r w:rsidR="002B210B">
        <w:rPr>
          <w:sz w:val="28"/>
          <w:szCs w:val="28"/>
        </w:rPr>
        <w:t xml:space="preserve"> 35 коп</w:t>
      </w:r>
      <w:r w:rsidR="00075606">
        <w:rPr>
          <w:sz w:val="28"/>
          <w:szCs w:val="28"/>
        </w:rPr>
        <w:t>.</w:t>
      </w:r>
    </w:p>
    <w:p w:rsidR="00075606" w:rsidRPr="00065B66" w:rsidP="00075606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B210B">
        <w:rPr>
          <w:sz w:val="28"/>
          <w:szCs w:val="28"/>
        </w:rPr>
        <w:t>Сахно Галины Дмитриевны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CD4A1B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A028F"/>
    <w:rsid w:val="000D5F72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B210B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2CC5"/>
    <w:rsid w:val="004848C0"/>
    <w:rsid w:val="004A1445"/>
    <w:rsid w:val="004A4810"/>
    <w:rsid w:val="00557213"/>
    <w:rsid w:val="005944E2"/>
    <w:rsid w:val="0059460A"/>
    <w:rsid w:val="005B130F"/>
    <w:rsid w:val="005C1C8B"/>
    <w:rsid w:val="006161C7"/>
    <w:rsid w:val="00644605"/>
    <w:rsid w:val="00664D60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1232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BC31B4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25655"/>
    <w:rsid w:val="00D356E0"/>
    <w:rsid w:val="00D36E32"/>
    <w:rsid w:val="00D65F33"/>
    <w:rsid w:val="00D8258B"/>
    <w:rsid w:val="00D87A48"/>
    <w:rsid w:val="00D95E57"/>
    <w:rsid w:val="00DA2C09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1982-DC49-4AEE-B3B4-177E24EB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